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9F569">
      <w:pPr>
        <w:ind w:firstLine="420"/>
        <w:rPr>
          <w:rFonts w:ascii="宋体" w:hAnsi="宋体" w:cs="宋体"/>
          <w:szCs w:val="21"/>
        </w:rPr>
      </w:pPr>
      <w:bookmarkStart w:id="0" w:name="_Toc435109307"/>
      <w:bookmarkStart w:id="1" w:name="_Toc513536705"/>
    </w:p>
    <w:p w14:paraId="1AD4B74C">
      <w:pPr>
        <w:pStyle w:val="7"/>
        <w:wordWrap w:val="0"/>
        <w:ind w:right="106"/>
        <w:jc w:val="right"/>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合同编号：</w:t>
      </w:r>
      <w:r>
        <w:rPr>
          <w:rFonts w:hint="eastAsia" w:ascii="仿宋_GB2312" w:hAnsi="仿宋_GB2312" w:eastAsia="仿宋_GB2312" w:cs="仿宋_GB2312"/>
          <w:sz w:val="32"/>
          <w:szCs w:val="32"/>
          <w:u w:val="single"/>
          <w:shd w:val="clear" w:color="auto" w:fill="FFFFFF"/>
        </w:rPr>
        <w:t xml:space="preserve">                      </w:t>
      </w:r>
    </w:p>
    <w:p w14:paraId="7104C7E9">
      <w:pPr>
        <w:spacing w:line="700" w:lineRule="exact"/>
        <w:rPr>
          <w:rFonts w:cs="仿宋" w:asciiTheme="minorEastAsia" w:hAnsiTheme="minorEastAsia" w:eastAsiaTheme="minorEastAsia"/>
          <w:b/>
          <w:bCs/>
          <w:sz w:val="48"/>
        </w:rPr>
      </w:pPr>
    </w:p>
    <w:p w14:paraId="5C8F68DA">
      <w:pPr>
        <w:spacing w:line="500" w:lineRule="exact"/>
        <w:rPr>
          <w:rFonts w:cs="仿宋" w:asciiTheme="minorEastAsia" w:hAnsiTheme="minorEastAsia" w:eastAsiaTheme="minorEastAsia"/>
          <w:b/>
          <w:sz w:val="24"/>
        </w:rPr>
      </w:pPr>
      <w:r>
        <w:rPr>
          <w:rFonts w:hint="eastAsia" w:cs="仿宋" w:asciiTheme="minorEastAsia" w:hAnsiTheme="minorEastAsia" w:eastAsiaTheme="minorEastAsia"/>
          <w:b/>
          <w:sz w:val="24"/>
        </w:rPr>
        <w:t xml:space="preserve">  </w:t>
      </w:r>
    </w:p>
    <w:p w14:paraId="34BFD464">
      <w:pPr>
        <w:spacing w:line="500" w:lineRule="exact"/>
        <w:rPr>
          <w:rFonts w:cs="仿宋" w:asciiTheme="minorEastAsia" w:hAnsiTheme="minorEastAsia" w:eastAsiaTheme="minorEastAsia"/>
          <w:b/>
          <w:sz w:val="24"/>
        </w:rPr>
      </w:pPr>
    </w:p>
    <w:p w14:paraId="0ECF365C">
      <w:pPr>
        <w:spacing w:line="700" w:lineRule="exact"/>
        <w:jc w:val="center"/>
        <w:rPr>
          <w:rFonts w:cs="仿宋" w:asciiTheme="minorEastAsia" w:hAnsiTheme="minorEastAsia" w:eastAsiaTheme="minorEastAsia"/>
          <w:b/>
          <w:bCs/>
          <w:sz w:val="48"/>
        </w:rPr>
      </w:pPr>
    </w:p>
    <w:p w14:paraId="14770D6C">
      <w:pPr>
        <w:pStyle w:val="10"/>
        <w:rPr>
          <w:rFonts w:asciiTheme="minorEastAsia" w:hAnsiTheme="minorEastAsia" w:eastAsiaTheme="minorEastAsia"/>
        </w:rPr>
      </w:pPr>
    </w:p>
    <w:p w14:paraId="304F43EC">
      <w:pPr>
        <w:pStyle w:val="17"/>
        <w:ind w:firstLine="420"/>
        <w:rPr>
          <w:rFonts w:asciiTheme="minorEastAsia" w:hAnsiTheme="minorEastAsia" w:eastAsiaTheme="minorEastAsia"/>
        </w:rPr>
      </w:pPr>
    </w:p>
    <w:p w14:paraId="53DC3979">
      <w:pPr>
        <w:spacing w:line="700" w:lineRule="exact"/>
        <w:jc w:val="center"/>
        <w:rPr>
          <w:rFonts w:hint="eastAsia" w:ascii="方正小标宋简体" w:hAnsi="方正小标宋简体" w:eastAsia="方正小标宋简体" w:cs="方正小标宋简体"/>
          <w:b w:val="0"/>
          <w:bCs/>
          <w:sz w:val="44"/>
          <w:szCs w:val="44"/>
          <w:shd w:val="clear" w:color="auto" w:fill="FFFFFF"/>
        </w:rPr>
      </w:pPr>
      <w:r>
        <w:rPr>
          <w:rFonts w:hint="eastAsia" w:ascii="方正小标宋简体" w:hAnsi="方正小标宋简体" w:eastAsia="方正小标宋简体" w:cs="方正小标宋简体"/>
          <w:b w:val="0"/>
          <w:bCs/>
          <w:sz w:val="44"/>
          <w:szCs w:val="44"/>
          <w:shd w:val="clear" w:color="auto" w:fill="FFFFFF"/>
        </w:rPr>
        <w:t>深圳市龙华环境有限公司大浪街道城市管家</w:t>
      </w:r>
    </w:p>
    <w:p w14:paraId="0AD636D0">
      <w:pPr>
        <w:spacing w:line="7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shd w:val="clear" w:color="auto" w:fill="FFFFFF"/>
        </w:rPr>
        <w:t>项目660L垃圾桶及配件采购合同</w:t>
      </w:r>
    </w:p>
    <w:p w14:paraId="014F1F09">
      <w:pPr>
        <w:spacing w:line="700" w:lineRule="exact"/>
        <w:jc w:val="center"/>
        <w:rPr>
          <w:rFonts w:cs="仿宋" w:asciiTheme="minorEastAsia" w:hAnsiTheme="minorEastAsia" w:eastAsiaTheme="minorEastAsia"/>
        </w:rPr>
      </w:pPr>
    </w:p>
    <w:p w14:paraId="1FF4A87E">
      <w:pPr>
        <w:spacing w:line="700" w:lineRule="exact"/>
        <w:jc w:val="center"/>
        <w:rPr>
          <w:rFonts w:cs="仿宋" w:asciiTheme="minorEastAsia" w:hAnsiTheme="minorEastAsia" w:eastAsiaTheme="minorEastAsia"/>
        </w:rPr>
      </w:pPr>
    </w:p>
    <w:p w14:paraId="409B3160">
      <w:pPr>
        <w:pStyle w:val="17"/>
        <w:ind w:firstLine="420"/>
        <w:rPr>
          <w:rFonts w:cs="仿宋" w:asciiTheme="minorEastAsia" w:hAnsiTheme="minorEastAsia" w:eastAsiaTheme="minorEastAsia"/>
        </w:rPr>
      </w:pPr>
    </w:p>
    <w:p w14:paraId="6EE6CF3F">
      <w:pPr>
        <w:pStyle w:val="17"/>
        <w:ind w:firstLine="420"/>
        <w:rPr>
          <w:rFonts w:cs="仿宋" w:asciiTheme="minorEastAsia" w:hAnsiTheme="minorEastAsia" w:eastAsiaTheme="minorEastAsia"/>
        </w:rPr>
      </w:pPr>
    </w:p>
    <w:p w14:paraId="19E938AA">
      <w:pPr>
        <w:pStyle w:val="17"/>
        <w:ind w:firstLine="420"/>
        <w:rPr>
          <w:rFonts w:cs="仿宋" w:asciiTheme="minorEastAsia" w:hAnsiTheme="minorEastAsia" w:eastAsiaTheme="minorEastAsia"/>
        </w:rPr>
      </w:pPr>
    </w:p>
    <w:p w14:paraId="3D8E2701">
      <w:pPr>
        <w:pStyle w:val="17"/>
        <w:ind w:firstLine="420"/>
        <w:rPr>
          <w:rFonts w:cs="仿宋" w:asciiTheme="minorEastAsia" w:hAnsiTheme="minorEastAsia" w:eastAsiaTheme="minorEastAsia"/>
        </w:rPr>
      </w:pPr>
    </w:p>
    <w:tbl>
      <w:tblPr>
        <w:tblStyle w:val="12"/>
        <w:tblW w:w="442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54"/>
        <w:gridCol w:w="5761"/>
      </w:tblGrid>
      <w:tr w14:paraId="15758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406" w:type="pct"/>
            <w:vAlign w:val="center"/>
          </w:tcPr>
          <w:p w14:paraId="48036847">
            <w:pPr>
              <w:spacing w:line="400" w:lineRule="exact"/>
              <w:jc w:val="left"/>
              <w:rPr>
                <w:rFonts w:ascii="仿宋" w:hAnsi="仿宋" w:eastAsia="仿宋" w:cs="仿宋"/>
                <w:bCs/>
                <w:sz w:val="28"/>
                <w:szCs w:val="28"/>
              </w:rPr>
            </w:pPr>
            <w:r>
              <w:rPr>
                <w:rFonts w:hint="eastAsia" w:ascii="仿宋" w:hAnsi="仿宋" w:eastAsia="仿宋" w:cs="仿宋"/>
                <w:bCs/>
                <w:spacing w:val="93"/>
                <w:kern w:val="0"/>
                <w:sz w:val="28"/>
                <w:szCs w:val="28"/>
                <w:fitText w:val="1680" w:id="1248593322"/>
              </w:rPr>
              <w:t>项目名</w:t>
            </w:r>
            <w:r>
              <w:rPr>
                <w:rFonts w:hint="eastAsia" w:ascii="仿宋" w:hAnsi="仿宋" w:eastAsia="仿宋" w:cs="仿宋"/>
                <w:bCs/>
                <w:spacing w:val="1"/>
                <w:kern w:val="0"/>
                <w:sz w:val="28"/>
                <w:szCs w:val="28"/>
                <w:fitText w:val="1680" w:id="1248593322"/>
              </w:rPr>
              <w:t>称</w:t>
            </w:r>
            <w:r>
              <w:rPr>
                <w:rFonts w:hint="eastAsia" w:ascii="仿宋" w:hAnsi="仿宋" w:eastAsia="仿宋" w:cs="仿宋"/>
                <w:bCs/>
                <w:sz w:val="28"/>
                <w:szCs w:val="28"/>
              </w:rPr>
              <w:t>：</w:t>
            </w:r>
          </w:p>
        </w:tc>
        <w:tc>
          <w:tcPr>
            <w:tcW w:w="3593" w:type="pct"/>
            <w:vAlign w:val="center"/>
          </w:tcPr>
          <w:p w14:paraId="10945A07">
            <w:pPr>
              <w:spacing w:line="400" w:lineRule="exact"/>
              <w:jc w:val="left"/>
              <w:rPr>
                <w:rFonts w:hint="eastAsia" w:ascii="仿宋" w:hAnsi="仿宋" w:eastAsia="仿宋" w:cs="仿宋"/>
                <w:bCs/>
                <w:sz w:val="28"/>
                <w:szCs w:val="28"/>
              </w:rPr>
            </w:pPr>
            <w:r>
              <w:rPr>
                <w:rFonts w:hint="eastAsia" w:ascii="仿宋" w:hAnsi="仿宋" w:eastAsia="仿宋" w:cs="仿宋"/>
                <w:bCs/>
                <w:sz w:val="28"/>
                <w:szCs w:val="28"/>
              </w:rPr>
              <w:t>大浪街道城市管家项目660L垃圾桶及配件</w:t>
            </w:r>
          </w:p>
          <w:p w14:paraId="7F4AEA3D">
            <w:pPr>
              <w:spacing w:line="400" w:lineRule="exact"/>
              <w:jc w:val="left"/>
              <w:rPr>
                <w:rFonts w:ascii="仿宋" w:hAnsi="仿宋" w:eastAsia="仿宋" w:cs="仿宋"/>
                <w:bCs/>
                <w:sz w:val="28"/>
                <w:szCs w:val="28"/>
              </w:rPr>
            </w:pPr>
            <w:r>
              <w:rPr>
                <w:rFonts w:hint="eastAsia" w:ascii="仿宋" w:hAnsi="仿宋" w:eastAsia="仿宋" w:cs="仿宋"/>
                <w:bCs/>
                <w:sz w:val="28"/>
                <w:szCs w:val="28"/>
              </w:rPr>
              <w:t>采购合同</w:t>
            </w:r>
          </w:p>
        </w:tc>
      </w:tr>
      <w:tr w14:paraId="201A9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406" w:type="pct"/>
            <w:vAlign w:val="center"/>
          </w:tcPr>
          <w:p w14:paraId="46C7BB1F">
            <w:pPr>
              <w:spacing w:line="400" w:lineRule="exact"/>
              <w:jc w:val="left"/>
              <w:rPr>
                <w:rFonts w:ascii="仿宋" w:hAnsi="仿宋" w:eastAsia="仿宋" w:cs="仿宋"/>
                <w:bCs/>
                <w:sz w:val="28"/>
                <w:szCs w:val="28"/>
              </w:rPr>
            </w:pPr>
            <w:r>
              <w:rPr>
                <w:rFonts w:hint="eastAsia" w:ascii="仿宋" w:hAnsi="仿宋" w:eastAsia="仿宋" w:cs="仿宋"/>
                <w:bCs/>
                <w:spacing w:val="560"/>
                <w:kern w:val="0"/>
                <w:sz w:val="28"/>
                <w:szCs w:val="28"/>
                <w:fitText w:val="1680" w:id="1248593322"/>
              </w:rPr>
              <w:t>甲</w:t>
            </w:r>
            <w:r>
              <w:rPr>
                <w:rFonts w:hint="eastAsia" w:ascii="仿宋" w:hAnsi="仿宋" w:eastAsia="仿宋" w:cs="仿宋"/>
                <w:bCs/>
                <w:spacing w:val="0"/>
                <w:kern w:val="0"/>
                <w:sz w:val="28"/>
                <w:szCs w:val="28"/>
                <w:fitText w:val="1680" w:id="1248593322"/>
              </w:rPr>
              <w:t>方</w:t>
            </w:r>
            <w:r>
              <w:rPr>
                <w:rFonts w:hint="eastAsia" w:ascii="仿宋" w:hAnsi="仿宋" w:eastAsia="仿宋" w:cs="仿宋"/>
                <w:bCs/>
                <w:sz w:val="28"/>
                <w:szCs w:val="28"/>
              </w:rPr>
              <w:t>：</w:t>
            </w:r>
          </w:p>
        </w:tc>
        <w:tc>
          <w:tcPr>
            <w:tcW w:w="3593" w:type="pct"/>
            <w:vAlign w:val="center"/>
          </w:tcPr>
          <w:p w14:paraId="0299F636">
            <w:pPr>
              <w:spacing w:line="400" w:lineRule="exact"/>
              <w:jc w:val="left"/>
              <w:rPr>
                <w:rFonts w:ascii="仿宋" w:hAnsi="仿宋" w:eastAsia="仿宋" w:cs="仿宋"/>
                <w:bCs/>
                <w:sz w:val="28"/>
                <w:szCs w:val="28"/>
              </w:rPr>
            </w:pPr>
            <w:r>
              <w:rPr>
                <w:rFonts w:hint="eastAsia" w:ascii="仿宋" w:hAnsi="仿宋" w:eastAsia="仿宋" w:cs="仿宋"/>
                <w:bCs/>
                <w:sz w:val="28"/>
                <w:szCs w:val="28"/>
              </w:rPr>
              <w:t>深圳市龙华环境有限公司</w:t>
            </w:r>
          </w:p>
        </w:tc>
      </w:tr>
      <w:tr w14:paraId="67C92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406" w:type="pct"/>
            <w:vAlign w:val="center"/>
          </w:tcPr>
          <w:p w14:paraId="04D758A4">
            <w:pPr>
              <w:spacing w:line="400" w:lineRule="exact"/>
              <w:rPr>
                <w:rFonts w:ascii="仿宋" w:hAnsi="仿宋" w:eastAsia="仿宋" w:cs="仿宋"/>
                <w:sz w:val="28"/>
                <w:szCs w:val="28"/>
              </w:rPr>
            </w:pPr>
            <w:r>
              <w:rPr>
                <w:rFonts w:hint="eastAsia" w:ascii="仿宋" w:hAnsi="仿宋" w:eastAsia="仿宋" w:cs="仿宋"/>
                <w:bCs/>
                <w:spacing w:val="560"/>
                <w:kern w:val="0"/>
                <w:sz w:val="28"/>
                <w:szCs w:val="28"/>
                <w:fitText w:val="1680" w:id="1248593322"/>
              </w:rPr>
              <w:t>乙</w:t>
            </w:r>
            <w:r>
              <w:rPr>
                <w:rFonts w:hint="eastAsia" w:ascii="仿宋" w:hAnsi="仿宋" w:eastAsia="仿宋" w:cs="仿宋"/>
                <w:bCs/>
                <w:spacing w:val="0"/>
                <w:kern w:val="0"/>
                <w:sz w:val="28"/>
                <w:szCs w:val="28"/>
                <w:fitText w:val="1680" w:id="1248593322"/>
              </w:rPr>
              <w:t>方</w:t>
            </w:r>
            <w:r>
              <w:rPr>
                <w:rFonts w:hint="eastAsia" w:ascii="仿宋" w:hAnsi="仿宋" w:eastAsia="仿宋" w:cs="仿宋"/>
                <w:sz w:val="28"/>
                <w:szCs w:val="28"/>
              </w:rPr>
              <w:t>：</w:t>
            </w:r>
          </w:p>
        </w:tc>
        <w:tc>
          <w:tcPr>
            <w:tcW w:w="3593" w:type="pct"/>
            <w:vAlign w:val="center"/>
          </w:tcPr>
          <w:p w14:paraId="0E48D630">
            <w:pPr>
              <w:spacing w:line="400" w:lineRule="exact"/>
              <w:rPr>
                <w:rFonts w:hint="eastAsia" w:ascii="仿宋" w:hAnsi="仿宋" w:eastAsia="仿宋" w:cs="仿宋"/>
                <w:sz w:val="28"/>
                <w:szCs w:val="28"/>
                <w:lang w:eastAsia="zh-CN"/>
              </w:rPr>
            </w:pPr>
          </w:p>
        </w:tc>
      </w:tr>
      <w:tr w14:paraId="47901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406" w:type="pct"/>
            <w:vAlign w:val="center"/>
          </w:tcPr>
          <w:p w14:paraId="5EBD7810">
            <w:pPr>
              <w:spacing w:line="400" w:lineRule="exact"/>
              <w:rPr>
                <w:rFonts w:ascii="仿宋" w:hAnsi="仿宋" w:eastAsia="仿宋" w:cs="仿宋"/>
                <w:sz w:val="28"/>
                <w:szCs w:val="28"/>
              </w:rPr>
            </w:pPr>
            <w:r>
              <w:rPr>
                <w:rFonts w:hint="eastAsia" w:ascii="仿宋" w:hAnsi="仿宋" w:eastAsia="仿宋" w:cs="仿宋"/>
                <w:bCs/>
                <w:spacing w:val="93"/>
                <w:kern w:val="0"/>
                <w:sz w:val="28"/>
                <w:szCs w:val="28"/>
                <w:fitText w:val="1680" w:id="1248593322"/>
              </w:rPr>
              <w:t>签订</w:t>
            </w:r>
            <w:r>
              <w:rPr>
                <w:rFonts w:hint="eastAsia" w:ascii="仿宋" w:hAnsi="仿宋" w:eastAsia="仿宋" w:cs="仿宋"/>
                <w:bCs/>
                <w:spacing w:val="93"/>
                <w:kern w:val="0"/>
                <w:sz w:val="28"/>
                <w:szCs w:val="28"/>
                <w:fitText w:val="1680" w:id="1248593322"/>
                <w:lang w:val="en-US" w:eastAsia="zh-CN"/>
              </w:rPr>
              <w:t>时</w:t>
            </w:r>
            <w:r>
              <w:rPr>
                <w:rFonts w:hint="eastAsia" w:ascii="仿宋" w:hAnsi="仿宋" w:eastAsia="仿宋" w:cs="仿宋"/>
                <w:bCs/>
                <w:spacing w:val="1"/>
                <w:kern w:val="0"/>
                <w:sz w:val="28"/>
                <w:szCs w:val="28"/>
                <w:fitText w:val="1680" w:id="1248593322"/>
                <w:lang w:val="en-US" w:eastAsia="zh-CN"/>
              </w:rPr>
              <w:t>间</w:t>
            </w:r>
            <w:r>
              <w:rPr>
                <w:rFonts w:hint="eastAsia" w:ascii="仿宋" w:hAnsi="仿宋" w:eastAsia="仿宋" w:cs="仿宋"/>
                <w:sz w:val="28"/>
                <w:szCs w:val="28"/>
              </w:rPr>
              <w:t>：</w:t>
            </w:r>
          </w:p>
        </w:tc>
        <w:tc>
          <w:tcPr>
            <w:tcW w:w="3593" w:type="pct"/>
            <w:vAlign w:val="center"/>
          </w:tcPr>
          <w:p w14:paraId="03B9DAEB">
            <w:pPr>
              <w:spacing w:line="400" w:lineRule="exact"/>
              <w:rPr>
                <w:rFonts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p>
        </w:tc>
      </w:tr>
    </w:tbl>
    <w:p w14:paraId="4D47959C">
      <w:pP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br w:type="page"/>
      </w:r>
    </w:p>
    <w:bookmarkEnd w:id="0"/>
    <w:bookmarkEnd w:id="1"/>
    <w:p w14:paraId="19C86287">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甲方：</w:t>
      </w:r>
      <w:r>
        <w:rPr>
          <w:rFonts w:hint="eastAsia" w:ascii="仿宋_GB2312" w:hAnsi="仿宋_GB2312" w:eastAsia="仿宋_GB2312" w:cs="仿宋_GB2312"/>
          <w:b/>
          <w:bCs/>
          <w:sz w:val="32"/>
          <w:szCs w:val="32"/>
          <w:u w:val="single"/>
        </w:rPr>
        <w:t xml:space="preserve"> 深圳市龙华环境有限公司 </w:t>
      </w:r>
    </w:p>
    <w:p w14:paraId="590245FC">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u w:val="single"/>
        </w:rPr>
        <w:t xml:space="preserve">  深圳市龙华区观湖街道鹭湖社区观盛三路10号龙馨家园A栋1501 </w:t>
      </w:r>
    </w:p>
    <w:p w14:paraId="2FB4FF92">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许伦嘉</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u w:val="single"/>
        </w:rPr>
        <w:t xml:space="preserve"> 15818592677 </w:t>
      </w:r>
    </w:p>
    <w:p w14:paraId="32C1ACA3">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乙方：</w:t>
      </w:r>
      <w:r>
        <w:rPr>
          <w:rFonts w:hint="eastAsia" w:ascii="仿宋_GB2312" w:hAnsi="仿宋_GB2312" w:eastAsia="仿宋_GB2312" w:cs="仿宋_GB2312"/>
          <w:sz w:val="32"/>
          <w:szCs w:val="32"/>
          <w:u w:val="single"/>
        </w:rPr>
        <w:t xml:space="preserve">  </w:t>
      </w:r>
    </w:p>
    <w:p w14:paraId="6282ADCA">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w:t>
      </w:r>
      <w:r>
        <w:rPr>
          <w:rFonts w:hint="eastAsia" w:ascii="仿宋_GB2312" w:hAnsi="仿宋_GB2312" w:eastAsia="仿宋_GB2312" w:cs="仿宋_GB2312"/>
          <w:sz w:val="32"/>
          <w:szCs w:val="32"/>
          <w:highlight w:val="none"/>
          <w:u w:val="single"/>
        </w:rPr>
        <w:t xml:space="preserve">  </w:t>
      </w:r>
    </w:p>
    <w:p w14:paraId="4CB08D90">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u w:val="single"/>
        </w:rPr>
        <w:t xml:space="preserve">  </w:t>
      </w:r>
    </w:p>
    <w:p w14:paraId="66D3315F">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14:paraId="0E8616BB">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sz w:val="32"/>
          <w:szCs w:val="32"/>
          <w:highlight w:val="magenta"/>
        </w:rPr>
      </w:pPr>
      <w:r>
        <w:rPr>
          <w:rFonts w:hint="eastAsia" w:ascii="仿宋_GB2312" w:hAnsi="仿宋_GB2312" w:eastAsia="仿宋_GB2312" w:cs="仿宋_GB2312"/>
          <w:color w:val="auto"/>
          <w:sz w:val="32"/>
          <w:szCs w:val="32"/>
        </w:rPr>
        <w:t>鉴于：依据《中华人民共和国政府采购法》、《中华人民共和国招标投标法》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《中华人民共和国民法典》等相关法律法规规定，深圳市龙华环境有限公司（以下简称 “甲方”）就“大浪街道城市管家项目660L垃圾桶及配件采购”。</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（以下简称 “乙方”）确定为中标单位，甲方已依法向乙方发出《中标通知书》，中标内容及相关要求已明确。为规范双方权利义务，经甲乙</w:t>
      </w:r>
      <w:r>
        <w:rPr>
          <w:rFonts w:hint="eastAsia" w:ascii="仿宋_GB2312" w:hAnsi="仿宋_GB2312" w:eastAsia="仿宋_GB2312" w:cs="仿宋_GB2312"/>
          <w:color w:val="auto"/>
          <w:sz w:val="32"/>
          <w:szCs w:val="32"/>
          <w:lang w:val="en-US" w:eastAsia="zh-CN"/>
        </w:rPr>
        <w:t>双</w:t>
      </w:r>
      <w:r>
        <w:rPr>
          <w:rFonts w:hint="eastAsia" w:ascii="仿宋_GB2312" w:hAnsi="仿宋_GB2312" w:eastAsia="仿宋_GB2312" w:cs="仿宋_GB2312"/>
          <w:color w:val="auto"/>
          <w:sz w:val="32"/>
          <w:szCs w:val="32"/>
        </w:rPr>
        <w:t>方协商，达成以下合同条款，以资共同遵守：</w:t>
      </w:r>
    </w:p>
    <w:p w14:paraId="7B457707">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第一条 合同标的</w:t>
      </w:r>
    </w:p>
    <w:p w14:paraId="17230C1B">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乙方根据甲方需求提供下列货物：</w:t>
      </w:r>
    </w:p>
    <w:tbl>
      <w:tblPr>
        <w:tblStyle w:val="11"/>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1474"/>
        <w:gridCol w:w="1386"/>
        <w:gridCol w:w="1898"/>
        <w:gridCol w:w="1255"/>
      </w:tblGrid>
      <w:tr w14:paraId="67E3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288" w:type="dxa"/>
            <w:vAlign w:val="center"/>
          </w:tcPr>
          <w:p w14:paraId="4ED230F8">
            <w:pPr>
              <w:spacing w:line="400" w:lineRule="exact"/>
              <w:jc w:val="center"/>
              <w:rPr>
                <w:rFonts w:ascii="仿宋" w:hAnsi="仿宋" w:eastAsia="仿宋" w:cs="仿宋"/>
                <w:b/>
                <w:bCs/>
                <w:sz w:val="28"/>
                <w:szCs w:val="28"/>
              </w:rPr>
            </w:pPr>
            <w:r>
              <w:rPr>
                <w:rFonts w:hint="eastAsia" w:ascii="仿宋" w:hAnsi="仿宋" w:eastAsia="仿宋" w:cs="仿宋"/>
                <w:b/>
                <w:bCs/>
                <w:color w:val="000000"/>
                <w:kern w:val="0"/>
                <w:sz w:val="28"/>
                <w:szCs w:val="28"/>
              </w:rPr>
              <w:t>货物名称</w:t>
            </w:r>
          </w:p>
        </w:tc>
        <w:tc>
          <w:tcPr>
            <w:tcW w:w="1474" w:type="dxa"/>
            <w:vAlign w:val="center"/>
          </w:tcPr>
          <w:p w14:paraId="1167B495">
            <w:pPr>
              <w:spacing w:line="400" w:lineRule="exact"/>
              <w:jc w:val="center"/>
              <w:rPr>
                <w:rFonts w:hint="eastAsia" w:ascii="仿宋" w:hAnsi="仿宋" w:eastAsia="仿宋" w:cs="仿宋"/>
                <w:b/>
                <w:bCs/>
                <w:sz w:val="28"/>
                <w:szCs w:val="28"/>
                <w:lang w:eastAsia="zh-CN"/>
              </w:rPr>
            </w:pPr>
            <w:r>
              <w:rPr>
                <w:rFonts w:hint="eastAsia" w:ascii="仿宋" w:hAnsi="仿宋" w:eastAsia="仿宋" w:cs="仿宋"/>
                <w:b/>
                <w:bCs/>
                <w:color w:val="000000"/>
                <w:kern w:val="0"/>
                <w:sz w:val="28"/>
                <w:szCs w:val="28"/>
              </w:rPr>
              <w:t>数量</w:t>
            </w:r>
            <w:r>
              <w:rPr>
                <w:rFonts w:hint="eastAsia" w:ascii="仿宋" w:hAnsi="仿宋" w:eastAsia="仿宋" w:cs="仿宋"/>
                <w:b/>
                <w:bCs/>
                <w:color w:val="000000"/>
                <w:kern w:val="0"/>
                <w:sz w:val="28"/>
                <w:szCs w:val="28"/>
                <w:lang w:eastAsia="zh-CN"/>
              </w:rPr>
              <w:t>（</w:t>
            </w:r>
            <w:r>
              <w:rPr>
                <w:rFonts w:hint="eastAsia" w:ascii="仿宋" w:hAnsi="仿宋" w:eastAsia="仿宋" w:cs="仿宋"/>
                <w:b/>
                <w:bCs/>
                <w:color w:val="000000"/>
                <w:kern w:val="0"/>
                <w:sz w:val="28"/>
                <w:szCs w:val="28"/>
                <w:lang w:val="en-US" w:eastAsia="zh-CN"/>
              </w:rPr>
              <w:t>套</w:t>
            </w:r>
            <w:r>
              <w:rPr>
                <w:rFonts w:hint="eastAsia" w:ascii="仿宋" w:hAnsi="仿宋" w:eastAsia="仿宋" w:cs="仿宋"/>
                <w:b/>
                <w:bCs/>
                <w:color w:val="000000"/>
                <w:kern w:val="0"/>
                <w:sz w:val="28"/>
                <w:szCs w:val="28"/>
                <w:lang w:eastAsia="zh-CN"/>
              </w:rPr>
              <w:t>）</w:t>
            </w:r>
          </w:p>
        </w:tc>
        <w:tc>
          <w:tcPr>
            <w:tcW w:w="1386" w:type="dxa"/>
            <w:vAlign w:val="center"/>
          </w:tcPr>
          <w:p w14:paraId="3499EFEF">
            <w:pPr>
              <w:spacing w:line="400" w:lineRule="exact"/>
              <w:jc w:val="center"/>
              <w:rPr>
                <w:rFonts w:ascii="仿宋" w:hAnsi="仿宋" w:eastAsia="仿宋" w:cs="仿宋"/>
                <w:b/>
                <w:bCs/>
                <w:sz w:val="28"/>
                <w:szCs w:val="28"/>
              </w:rPr>
            </w:pPr>
            <w:r>
              <w:rPr>
                <w:rFonts w:hint="eastAsia" w:ascii="仿宋" w:hAnsi="仿宋" w:eastAsia="仿宋" w:cs="仿宋"/>
                <w:b/>
                <w:bCs/>
                <w:color w:val="000000"/>
                <w:kern w:val="0"/>
                <w:sz w:val="28"/>
                <w:szCs w:val="28"/>
              </w:rPr>
              <w:t>单价（元）</w:t>
            </w:r>
          </w:p>
        </w:tc>
        <w:tc>
          <w:tcPr>
            <w:tcW w:w="1898" w:type="dxa"/>
            <w:vAlign w:val="center"/>
          </w:tcPr>
          <w:p w14:paraId="4A711813">
            <w:pPr>
              <w:spacing w:line="400" w:lineRule="exact"/>
              <w:jc w:val="center"/>
              <w:rPr>
                <w:rFonts w:ascii="仿宋" w:hAnsi="仿宋" w:eastAsia="仿宋" w:cs="仿宋"/>
                <w:b/>
                <w:bCs/>
                <w:sz w:val="28"/>
                <w:szCs w:val="28"/>
              </w:rPr>
            </w:pPr>
            <w:r>
              <w:rPr>
                <w:rFonts w:hint="eastAsia" w:ascii="仿宋" w:hAnsi="仿宋" w:eastAsia="仿宋" w:cs="仿宋"/>
                <w:b/>
                <w:bCs/>
                <w:color w:val="000000"/>
                <w:kern w:val="0"/>
                <w:sz w:val="28"/>
                <w:szCs w:val="28"/>
                <w:lang w:val="en-US" w:eastAsia="zh-CN"/>
              </w:rPr>
              <w:t>合</w:t>
            </w:r>
            <w:r>
              <w:rPr>
                <w:rFonts w:hint="eastAsia" w:ascii="仿宋" w:hAnsi="仿宋" w:eastAsia="仿宋" w:cs="仿宋"/>
                <w:b/>
                <w:bCs/>
                <w:color w:val="000000"/>
                <w:kern w:val="0"/>
                <w:sz w:val="28"/>
                <w:szCs w:val="28"/>
              </w:rPr>
              <w:t>计（元）</w:t>
            </w:r>
          </w:p>
        </w:tc>
        <w:tc>
          <w:tcPr>
            <w:tcW w:w="1255" w:type="dxa"/>
            <w:vAlign w:val="center"/>
          </w:tcPr>
          <w:p w14:paraId="511A45DE">
            <w:pPr>
              <w:spacing w:line="400" w:lineRule="exact"/>
              <w:jc w:val="center"/>
              <w:rPr>
                <w:rFonts w:ascii="仿宋" w:hAnsi="仿宋" w:eastAsia="仿宋" w:cs="仿宋"/>
                <w:b/>
                <w:bCs/>
                <w:sz w:val="28"/>
                <w:szCs w:val="28"/>
              </w:rPr>
            </w:pPr>
            <w:r>
              <w:rPr>
                <w:rFonts w:hint="eastAsia" w:ascii="仿宋" w:hAnsi="仿宋" w:eastAsia="仿宋" w:cs="仿宋"/>
                <w:b/>
                <w:bCs/>
                <w:sz w:val="28"/>
                <w:szCs w:val="28"/>
              </w:rPr>
              <w:t>备注</w:t>
            </w:r>
          </w:p>
        </w:tc>
      </w:tr>
      <w:tr w14:paraId="62A4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3288" w:type="dxa"/>
            <w:vAlign w:val="center"/>
          </w:tcPr>
          <w:p w14:paraId="36E5729E">
            <w:pPr>
              <w:spacing w:line="400" w:lineRule="exact"/>
              <w:jc w:val="center"/>
              <w:rPr>
                <w:rFonts w:ascii="仿宋" w:hAnsi="仿宋" w:eastAsia="仿宋" w:cs="仿宋"/>
                <w:color w:val="000000"/>
                <w:kern w:val="0"/>
                <w:sz w:val="28"/>
                <w:szCs w:val="28"/>
              </w:rPr>
            </w:pPr>
            <w:r>
              <w:rPr>
                <w:rFonts w:hint="eastAsia" w:ascii="仿宋" w:hAnsi="仿宋" w:eastAsia="仿宋" w:cs="仿宋"/>
                <w:color w:val="000000"/>
                <w:kern w:val="0"/>
                <w:sz w:val="28"/>
                <w:szCs w:val="28"/>
              </w:rPr>
              <w:t>660L垃圾桶</w:t>
            </w:r>
          </w:p>
        </w:tc>
        <w:tc>
          <w:tcPr>
            <w:tcW w:w="1474" w:type="dxa"/>
            <w:vAlign w:val="center"/>
          </w:tcPr>
          <w:p w14:paraId="52913F90">
            <w:pPr>
              <w:spacing w:line="400" w:lineRule="exact"/>
              <w:jc w:val="center"/>
              <w:rPr>
                <w:rFonts w:hint="default" w:ascii="仿宋" w:hAnsi="仿宋" w:eastAsia="仿宋" w:cs="仿宋"/>
                <w:color w:val="000000"/>
                <w:kern w:val="0"/>
                <w:sz w:val="28"/>
                <w:szCs w:val="28"/>
                <w:lang w:val="en-US"/>
              </w:rPr>
            </w:pPr>
            <w:r>
              <w:rPr>
                <w:rFonts w:hint="eastAsia" w:ascii="仿宋" w:hAnsi="仿宋" w:eastAsia="仿宋" w:cs="仿宋"/>
                <w:color w:val="000000"/>
                <w:kern w:val="0"/>
                <w:sz w:val="28"/>
                <w:szCs w:val="28"/>
                <w:lang w:val="en-US" w:eastAsia="zh-CN"/>
              </w:rPr>
              <w:t>600</w:t>
            </w:r>
          </w:p>
        </w:tc>
        <w:tc>
          <w:tcPr>
            <w:tcW w:w="1386" w:type="dxa"/>
            <w:vAlign w:val="center"/>
          </w:tcPr>
          <w:p w14:paraId="5B538B67">
            <w:pPr>
              <w:spacing w:line="400" w:lineRule="exact"/>
              <w:jc w:val="center"/>
              <w:rPr>
                <w:rFonts w:hint="default" w:ascii="仿宋" w:hAnsi="仿宋" w:eastAsia="仿宋" w:cs="仿宋"/>
                <w:color w:val="000000"/>
                <w:kern w:val="0"/>
                <w:sz w:val="28"/>
                <w:szCs w:val="28"/>
                <w:lang w:val="en-US" w:eastAsia="zh-CN"/>
              </w:rPr>
            </w:pPr>
          </w:p>
        </w:tc>
        <w:tc>
          <w:tcPr>
            <w:tcW w:w="1898" w:type="dxa"/>
            <w:vAlign w:val="center"/>
          </w:tcPr>
          <w:p w14:paraId="3803A53E">
            <w:pPr>
              <w:spacing w:line="400" w:lineRule="exact"/>
              <w:jc w:val="center"/>
              <w:rPr>
                <w:rFonts w:hint="default" w:ascii="仿宋" w:hAnsi="仿宋" w:eastAsia="仿宋" w:cs="仿宋"/>
                <w:color w:val="000000"/>
                <w:kern w:val="0"/>
                <w:sz w:val="28"/>
                <w:szCs w:val="28"/>
                <w:lang w:val="en-US" w:eastAsia="zh-CN"/>
              </w:rPr>
            </w:pPr>
          </w:p>
        </w:tc>
        <w:tc>
          <w:tcPr>
            <w:tcW w:w="1255" w:type="dxa"/>
            <w:vAlign w:val="center"/>
          </w:tcPr>
          <w:p w14:paraId="42D02C6A">
            <w:pPr>
              <w:spacing w:line="400" w:lineRule="exact"/>
              <w:jc w:val="center"/>
              <w:rPr>
                <w:rFonts w:hint="eastAsia" w:ascii="仿宋" w:hAnsi="仿宋" w:eastAsia="仿宋" w:cs="仿宋"/>
                <w:color w:val="000000"/>
                <w:kern w:val="0"/>
                <w:sz w:val="28"/>
                <w:szCs w:val="28"/>
              </w:rPr>
            </w:pPr>
          </w:p>
        </w:tc>
      </w:tr>
      <w:tr w14:paraId="6F1D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3288" w:type="dxa"/>
            <w:vAlign w:val="center"/>
          </w:tcPr>
          <w:p w14:paraId="0C59CD88">
            <w:pPr>
              <w:spacing w:line="40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配套转向轮（带刹车）</w:t>
            </w:r>
          </w:p>
        </w:tc>
        <w:tc>
          <w:tcPr>
            <w:tcW w:w="1474" w:type="dxa"/>
            <w:vAlign w:val="center"/>
          </w:tcPr>
          <w:p w14:paraId="512706F0">
            <w:pPr>
              <w:spacing w:line="400" w:lineRule="exact"/>
              <w:jc w:val="center"/>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200</w:t>
            </w:r>
          </w:p>
        </w:tc>
        <w:tc>
          <w:tcPr>
            <w:tcW w:w="1386" w:type="dxa"/>
            <w:vAlign w:val="center"/>
          </w:tcPr>
          <w:p w14:paraId="274A6494">
            <w:pPr>
              <w:spacing w:line="400" w:lineRule="exact"/>
              <w:jc w:val="center"/>
              <w:rPr>
                <w:rFonts w:hint="eastAsia" w:ascii="仿宋" w:hAnsi="仿宋" w:eastAsia="仿宋" w:cs="仿宋"/>
                <w:color w:val="000000"/>
                <w:kern w:val="0"/>
                <w:sz w:val="28"/>
                <w:szCs w:val="28"/>
                <w:lang w:val="en-US" w:eastAsia="zh-CN"/>
              </w:rPr>
            </w:pPr>
          </w:p>
        </w:tc>
        <w:tc>
          <w:tcPr>
            <w:tcW w:w="1898" w:type="dxa"/>
            <w:vAlign w:val="center"/>
          </w:tcPr>
          <w:p w14:paraId="0DDA60D7">
            <w:pPr>
              <w:spacing w:line="400" w:lineRule="exact"/>
              <w:jc w:val="center"/>
              <w:rPr>
                <w:rFonts w:hint="eastAsia" w:ascii="仿宋" w:hAnsi="仿宋" w:eastAsia="仿宋" w:cs="仿宋"/>
                <w:color w:val="000000"/>
                <w:kern w:val="0"/>
                <w:sz w:val="28"/>
                <w:szCs w:val="28"/>
                <w:lang w:val="en-US" w:eastAsia="zh-CN"/>
              </w:rPr>
            </w:pPr>
          </w:p>
        </w:tc>
        <w:tc>
          <w:tcPr>
            <w:tcW w:w="1255" w:type="dxa"/>
            <w:vAlign w:val="center"/>
          </w:tcPr>
          <w:p w14:paraId="13212F18">
            <w:pPr>
              <w:spacing w:line="400" w:lineRule="exact"/>
              <w:jc w:val="center"/>
              <w:rPr>
                <w:rFonts w:hint="eastAsia" w:ascii="仿宋" w:hAnsi="仿宋" w:eastAsia="仿宋" w:cs="仿宋"/>
                <w:color w:val="000000"/>
                <w:kern w:val="0"/>
                <w:sz w:val="28"/>
                <w:szCs w:val="28"/>
              </w:rPr>
            </w:pPr>
          </w:p>
        </w:tc>
      </w:tr>
      <w:tr w14:paraId="4336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3288" w:type="dxa"/>
            <w:vAlign w:val="center"/>
          </w:tcPr>
          <w:p w14:paraId="5A376AED">
            <w:pPr>
              <w:spacing w:line="40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配套转向轮（不带刹车）</w:t>
            </w:r>
          </w:p>
        </w:tc>
        <w:tc>
          <w:tcPr>
            <w:tcW w:w="1474" w:type="dxa"/>
            <w:vAlign w:val="center"/>
          </w:tcPr>
          <w:p w14:paraId="0069BE3B">
            <w:pPr>
              <w:spacing w:line="400" w:lineRule="exact"/>
              <w:jc w:val="center"/>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200</w:t>
            </w:r>
          </w:p>
        </w:tc>
        <w:tc>
          <w:tcPr>
            <w:tcW w:w="1386" w:type="dxa"/>
            <w:vAlign w:val="center"/>
          </w:tcPr>
          <w:p w14:paraId="299CA09C">
            <w:pPr>
              <w:spacing w:line="400" w:lineRule="exact"/>
              <w:jc w:val="center"/>
              <w:rPr>
                <w:rFonts w:hint="eastAsia" w:ascii="仿宋" w:hAnsi="仿宋" w:eastAsia="仿宋" w:cs="仿宋"/>
                <w:color w:val="000000"/>
                <w:kern w:val="0"/>
                <w:sz w:val="28"/>
                <w:szCs w:val="28"/>
                <w:lang w:val="en-US" w:eastAsia="zh-CN"/>
              </w:rPr>
            </w:pPr>
          </w:p>
        </w:tc>
        <w:tc>
          <w:tcPr>
            <w:tcW w:w="1898" w:type="dxa"/>
            <w:vAlign w:val="center"/>
          </w:tcPr>
          <w:p w14:paraId="2FDD9857">
            <w:pPr>
              <w:spacing w:line="400" w:lineRule="exact"/>
              <w:jc w:val="center"/>
              <w:rPr>
                <w:rFonts w:hint="eastAsia" w:ascii="仿宋" w:hAnsi="仿宋" w:eastAsia="仿宋" w:cs="仿宋"/>
                <w:color w:val="000000"/>
                <w:kern w:val="0"/>
                <w:sz w:val="28"/>
                <w:szCs w:val="28"/>
                <w:lang w:val="en-US" w:eastAsia="zh-CN"/>
              </w:rPr>
            </w:pPr>
          </w:p>
        </w:tc>
        <w:tc>
          <w:tcPr>
            <w:tcW w:w="1255" w:type="dxa"/>
            <w:vAlign w:val="center"/>
          </w:tcPr>
          <w:p w14:paraId="4C5ACC99">
            <w:pPr>
              <w:spacing w:line="400" w:lineRule="exact"/>
              <w:jc w:val="center"/>
              <w:rPr>
                <w:rFonts w:hint="eastAsia" w:ascii="仿宋" w:hAnsi="仿宋" w:eastAsia="仿宋" w:cs="仿宋"/>
                <w:color w:val="000000"/>
                <w:kern w:val="0"/>
                <w:sz w:val="28"/>
                <w:szCs w:val="28"/>
              </w:rPr>
            </w:pPr>
          </w:p>
        </w:tc>
      </w:tr>
      <w:tr w14:paraId="68BA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3288" w:type="dxa"/>
            <w:vAlign w:val="center"/>
          </w:tcPr>
          <w:p w14:paraId="16B8DB69">
            <w:pPr>
              <w:spacing w:line="400" w:lineRule="exact"/>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配套垃圾桶桶盖</w:t>
            </w:r>
          </w:p>
        </w:tc>
        <w:tc>
          <w:tcPr>
            <w:tcW w:w="1474" w:type="dxa"/>
            <w:vAlign w:val="center"/>
          </w:tcPr>
          <w:p w14:paraId="3BE8B125">
            <w:pPr>
              <w:spacing w:line="400" w:lineRule="exact"/>
              <w:jc w:val="center"/>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100</w:t>
            </w:r>
          </w:p>
        </w:tc>
        <w:tc>
          <w:tcPr>
            <w:tcW w:w="1386" w:type="dxa"/>
            <w:vAlign w:val="center"/>
          </w:tcPr>
          <w:p w14:paraId="2AB5929A">
            <w:pPr>
              <w:spacing w:line="400" w:lineRule="exact"/>
              <w:jc w:val="center"/>
              <w:rPr>
                <w:rFonts w:hint="eastAsia" w:ascii="仿宋" w:hAnsi="仿宋" w:eastAsia="仿宋" w:cs="仿宋"/>
                <w:color w:val="000000"/>
                <w:kern w:val="0"/>
                <w:sz w:val="28"/>
                <w:szCs w:val="28"/>
                <w:lang w:val="en-US" w:eastAsia="zh-CN"/>
              </w:rPr>
            </w:pPr>
          </w:p>
        </w:tc>
        <w:tc>
          <w:tcPr>
            <w:tcW w:w="1898" w:type="dxa"/>
            <w:vAlign w:val="center"/>
          </w:tcPr>
          <w:p w14:paraId="53DFAACF">
            <w:pPr>
              <w:spacing w:line="400" w:lineRule="exact"/>
              <w:jc w:val="center"/>
              <w:rPr>
                <w:rFonts w:hint="eastAsia" w:ascii="仿宋" w:hAnsi="仿宋" w:eastAsia="仿宋" w:cs="仿宋"/>
                <w:color w:val="000000"/>
                <w:kern w:val="0"/>
                <w:sz w:val="28"/>
                <w:szCs w:val="28"/>
                <w:lang w:val="en-US" w:eastAsia="zh-CN"/>
              </w:rPr>
            </w:pPr>
          </w:p>
        </w:tc>
        <w:tc>
          <w:tcPr>
            <w:tcW w:w="1255" w:type="dxa"/>
            <w:vAlign w:val="center"/>
          </w:tcPr>
          <w:p w14:paraId="3A89FEDF">
            <w:pPr>
              <w:spacing w:line="400" w:lineRule="exact"/>
              <w:jc w:val="center"/>
              <w:rPr>
                <w:rFonts w:hint="eastAsia" w:ascii="仿宋" w:hAnsi="仿宋" w:eastAsia="仿宋" w:cs="仿宋"/>
                <w:color w:val="000000"/>
                <w:kern w:val="0"/>
                <w:sz w:val="28"/>
                <w:szCs w:val="28"/>
              </w:rPr>
            </w:pPr>
          </w:p>
        </w:tc>
      </w:tr>
      <w:tr w14:paraId="1A9E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148" w:type="dxa"/>
            <w:gridSpan w:val="3"/>
            <w:vAlign w:val="center"/>
          </w:tcPr>
          <w:p w14:paraId="576E3C39">
            <w:pPr>
              <w:spacing w:line="400" w:lineRule="exact"/>
              <w:jc w:val="center"/>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总计</w:t>
            </w:r>
          </w:p>
        </w:tc>
        <w:tc>
          <w:tcPr>
            <w:tcW w:w="1898" w:type="dxa"/>
            <w:vAlign w:val="center"/>
          </w:tcPr>
          <w:p w14:paraId="0C1894C0">
            <w:pPr>
              <w:spacing w:line="400" w:lineRule="exact"/>
              <w:jc w:val="center"/>
              <w:rPr>
                <w:rFonts w:hint="eastAsia" w:ascii="仿宋" w:hAnsi="仿宋" w:eastAsia="仿宋" w:cs="仿宋"/>
                <w:color w:val="000000"/>
                <w:kern w:val="0"/>
                <w:sz w:val="28"/>
                <w:szCs w:val="28"/>
                <w:lang w:val="en-US" w:eastAsia="zh-CN"/>
              </w:rPr>
            </w:pPr>
          </w:p>
        </w:tc>
        <w:tc>
          <w:tcPr>
            <w:tcW w:w="1255" w:type="dxa"/>
            <w:vAlign w:val="center"/>
          </w:tcPr>
          <w:p w14:paraId="12CD6A3F">
            <w:pPr>
              <w:spacing w:line="400" w:lineRule="exact"/>
              <w:jc w:val="center"/>
              <w:rPr>
                <w:rFonts w:hint="eastAsia" w:ascii="仿宋" w:hAnsi="仿宋" w:eastAsia="仿宋" w:cs="仿宋"/>
                <w:color w:val="000000"/>
                <w:kern w:val="0"/>
                <w:sz w:val="28"/>
                <w:szCs w:val="28"/>
              </w:rPr>
            </w:pPr>
          </w:p>
        </w:tc>
      </w:tr>
    </w:tbl>
    <w:p w14:paraId="5A51DFE0">
      <w:pPr>
        <w:spacing w:line="400" w:lineRule="exact"/>
        <w:ind w:firstLine="562" w:firstLineChars="200"/>
        <w:rPr>
          <w:rFonts w:hint="default" w:ascii="仿宋" w:hAnsi="仿宋" w:eastAsia="仿宋" w:cs="仿宋"/>
          <w:b/>
          <w:bCs/>
          <w:sz w:val="28"/>
          <w:szCs w:val="28"/>
          <w:lang w:val="en-US" w:eastAsia="zh-CN"/>
        </w:rPr>
      </w:pPr>
      <w:r>
        <w:rPr>
          <w:rFonts w:hint="eastAsia" w:ascii="仿宋" w:hAnsi="仿宋" w:eastAsia="仿宋" w:cs="仿宋"/>
          <w:b/>
          <w:bCs/>
          <w:sz w:val="28"/>
          <w:szCs w:val="28"/>
        </w:rPr>
        <w:t>备注说明：1.</w:t>
      </w:r>
      <w:r>
        <w:rPr>
          <w:rFonts w:hint="eastAsia" w:ascii="仿宋" w:hAnsi="仿宋" w:eastAsia="仿宋" w:cs="仿宋"/>
          <w:b/>
          <w:bCs/>
          <w:sz w:val="28"/>
          <w:szCs w:val="28"/>
          <w:lang w:val="en-US" w:eastAsia="zh-CN"/>
        </w:rPr>
        <w:t>以上货物包含：单桶为黑色、含桶身1个、桶盖1个、带刹车万向轮2个、不带刹车万向轮2个、不锈钢插销1根、销子2个。</w:t>
      </w:r>
    </w:p>
    <w:p w14:paraId="063769C4">
      <w:pPr>
        <w:spacing w:line="40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以上单价均为含税、含运费及安装调试的单价，乙方应向甲方提</w:t>
      </w:r>
      <w:r>
        <w:rPr>
          <w:rFonts w:hint="eastAsia" w:ascii="仿宋" w:hAnsi="仿宋" w:eastAsia="仿宋" w:cs="仿宋"/>
          <w:b/>
          <w:bCs/>
          <w:sz w:val="28"/>
          <w:szCs w:val="28"/>
          <w:highlight w:val="none"/>
        </w:rPr>
        <w:t>供</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%的增值税专用发票。</w:t>
      </w:r>
    </w:p>
    <w:p w14:paraId="48BCAF5A">
      <w:pPr>
        <w:spacing w:line="400" w:lineRule="exact"/>
        <w:ind w:firstLine="562" w:firstLineChars="200"/>
        <w:rPr>
          <w:rFonts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.以上报价包括包括产品材料费、人工费、运输费（含装卸货、包安装）、保险费、管理费、税金及其他乙方为履行本合同义务所发生的一切费用，桶身正面印“龙华环境”字样、侧面印编号及“垃圾不落地 </w:t>
      </w:r>
      <w:r>
        <w:rPr>
          <w:rFonts w:hint="eastAsia" w:ascii="仿宋" w:hAnsi="仿宋" w:eastAsia="仿宋" w:cs="仿宋"/>
          <w:b/>
          <w:bCs/>
          <w:sz w:val="28"/>
          <w:szCs w:val="28"/>
          <w:lang w:val="en-US" w:eastAsia="zh-CN"/>
        </w:rPr>
        <w:t>大浪</w:t>
      </w:r>
      <w:r>
        <w:rPr>
          <w:rFonts w:hint="eastAsia" w:ascii="仿宋" w:hAnsi="仿宋" w:eastAsia="仿宋" w:cs="仿宋"/>
          <w:b/>
          <w:bCs/>
          <w:sz w:val="28"/>
          <w:szCs w:val="28"/>
        </w:rPr>
        <w:t>更美丽 龙华环境”字样。</w:t>
      </w:r>
    </w:p>
    <w:p w14:paraId="459D1A0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第二条 合同价款</w:t>
      </w:r>
    </w:p>
    <w:p w14:paraId="161B707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highlight w:val="none"/>
        </w:rPr>
        <w:t>本合同总价款为</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元（大写：</w:t>
      </w:r>
      <w:r>
        <w:rPr>
          <w:rFonts w:hint="eastAsia" w:ascii="仿宋_GB2312" w:hAnsi="仿宋_GB2312" w:eastAsia="仿宋_GB2312" w:cs="仿宋_GB2312"/>
          <w:bCs/>
          <w:sz w:val="32"/>
          <w:szCs w:val="32"/>
          <w:highlight w:val="none"/>
          <w:u w:val="single"/>
        </w:rPr>
        <w:t xml:space="preserve"> 整</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总</w:t>
      </w:r>
      <w:r>
        <w:rPr>
          <w:rFonts w:hint="eastAsia" w:ascii="仿宋_GB2312" w:hAnsi="仿宋_GB2312" w:eastAsia="仿宋_GB2312" w:cs="仿宋_GB2312"/>
          <w:bCs/>
          <w:color w:val="000000" w:themeColor="text1"/>
          <w:sz w:val="32"/>
          <w:szCs w:val="32"/>
          <w14:textFill>
            <w14:solidFill>
              <w14:schemeClr w14:val="tx1"/>
            </w14:solidFill>
          </w14:textFill>
        </w:rPr>
        <w:t>价款已包括乙方为履行本合同项下义务所发生的一切费用，系固定不变价格，且不随通货膨</w:t>
      </w:r>
      <w:r>
        <w:rPr>
          <w:rFonts w:hint="eastAsia" w:ascii="仿宋_GB2312" w:hAnsi="仿宋_GB2312" w:eastAsia="仿宋_GB2312" w:cs="仿宋_GB2312"/>
          <w:bCs/>
          <w:sz w:val="32"/>
          <w:szCs w:val="32"/>
        </w:rPr>
        <w:t>胀的影响而波动。</w:t>
      </w:r>
    </w:p>
    <w:p w14:paraId="3409A10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第三条 权利保证</w:t>
      </w:r>
    </w:p>
    <w:p w14:paraId="0033420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甲方有权单方解除合同，不承担相关法律责任。</w:t>
      </w:r>
    </w:p>
    <w:p w14:paraId="7D78800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第四条 质量保证及技术要求</w:t>
      </w:r>
    </w:p>
    <w:p w14:paraId="5DA1A56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（一）乙方所提供的货物的技术规格符合国家或行业文件规定的技术规格和环保要求，货物符合中华人民共和国的设计和制造生产标准或行业标准。</w:t>
      </w:r>
    </w:p>
    <w:p w14:paraId="38BA98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（二）乙方应保证货物是全新、未使用过的原装合格正品（包括零部件），并完全符合甲方要求的质量、规格和性能的要求。</w:t>
      </w:r>
    </w:p>
    <w:p w14:paraId="48D7927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（三）乙方保证交货时一并提供货物的材质检测报告、产品质量合格证等产品证明资料。</w:t>
      </w:r>
    </w:p>
    <w:p w14:paraId="783DE44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（四）乙方应以不低于</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检测报告</w:t>
      </w:r>
      <w:r>
        <w:rPr>
          <w:rFonts w:hint="eastAsia" w:ascii="仿宋_GB2312" w:hAnsi="仿宋_GB2312" w:eastAsia="仿宋_GB2312" w:cs="仿宋_GB2312"/>
          <w:bCs/>
          <w:color w:val="000000" w:themeColor="text1"/>
          <w:sz w:val="32"/>
          <w:szCs w:val="32"/>
          <w14:textFill>
            <w14:solidFill>
              <w14:schemeClr w14:val="tx1"/>
            </w14:solidFill>
          </w14:textFill>
        </w:rPr>
        <w:t>的质量供货。</w:t>
      </w:r>
    </w:p>
    <w:p w14:paraId="4D6C90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（五）乙方货物经抽样检查，如发现当批次不合格</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数量</w:t>
      </w:r>
      <w:r>
        <w:rPr>
          <w:rFonts w:hint="eastAsia" w:ascii="仿宋_GB2312" w:hAnsi="仿宋_GB2312" w:eastAsia="仿宋_GB2312" w:cs="仿宋_GB2312"/>
          <w:bCs/>
          <w:color w:val="000000" w:themeColor="text1"/>
          <w:sz w:val="32"/>
          <w:szCs w:val="32"/>
          <w14:textFill>
            <w14:solidFill>
              <w14:schemeClr w14:val="tx1"/>
            </w14:solidFill>
          </w14:textFill>
        </w:rPr>
        <w:t>达到</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5个</w:t>
      </w:r>
      <w:r>
        <w:rPr>
          <w:rFonts w:hint="eastAsia" w:ascii="仿宋_GB2312" w:hAnsi="仿宋_GB2312" w:eastAsia="仿宋_GB2312" w:cs="仿宋_GB2312"/>
          <w:bCs/>
          <w:color w:val="000000" w:themeColor="text1"/>
          <w:sz w:val="32"/>
          <w:szCs w:val="32"/>
          <w14:textFill>
            <w14:solidFill>
              <w14:schemeClr w14:val="tx1"/>
            </w14:solidFill>
          </w14:textFill>
        </w:rPr>
        <w:t>的，甲方有权拒绝收货，要求乙方重新更换，如发现当批次不合格</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数量</w:t>
      </w:r>
      <w:r>
        <w:rPr>
          <w:rFonts w:hint="eastAsia" w:ascii="仿宋_GB2312" w:hAnsi="仿宋_GB2312" w:eastAsia="仿宋_GB2312" w:cs="仿宋_GB2312"/>
          <w:bCs/>
          <w:color w:val="000000" w:themeColor="text1"/>
          <w:sz w:val="32"/>
          <w:szCs w:val="32"/>
          <w14:textFill>
            <w14:solidFill>
              <w14:schemeClr w14:val="tx1"/>
            </w14:solidFill>
          </w14:textFill>
        </w:rPr>
        <w:t>达到</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10个</w:t>
      </w:r>
      <w:r>
        <w:rPr>
          <w:rFonts w:hint="eastAsia" w:ascii="仿宋_GB2312" w:hAnsi="仿宋_GB2312" w:eastAsia="仿宋_GB2312" w:cs="仿宋_GB2312"/>
          <w:bCs/>
          <w:color w:val="000000" w:themeColor="text1"/>
          <w:sz w:val="32"/>
          <w:szCs w:val="32"/>
          <w14:textFill>
            <w14:solidFill>
              <w14:schemeClr w14:val="tx1"/>
            </w14:solidFill>
          </w14:textFill>
        </w:rPr>
        <w:t>时，甲方并有权解除合同，乙方承担合同总金额20%的违约责任。</w:t>
      </w:r>
    </w:p>
    <w:p w14:paraId="598B010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第五条 交货、验收和回收</w:t>
      </w:r>
    </w:p>
    <w:p w14:paraId="565D1CB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（一）本合同中的货物为分批供货，具体供货批次和数量以甲方通知为准，每次供货数量不少于</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00套。</w:t>
      </w:r>
    </w:p>
    <w:p w14:paraId="6BB8A3C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（二）交货时货物由乙方装配好，特别是轮子和盖子等，满足使用要求后再交付给甲方，因交货产生的费用由乙方自行承担（含保险费、运输费、装车卸车费、装配费等）；</w:t>
      </w:r>
    </w:p>
    <w:p w14:paraId="7733C6C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（三）编号要求如下：</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，LOGO标识要求：</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桶身正面印“龙华环境”字样、侧面印“垃圾不落地 </w:t>
      </w:r>
      <w:r>
        <w:rPr>
          <w:rFonts w:hint="eastAsia" w:ascii="仿宋_GB2312" w:hAnsi="仿宋_GB2312" w:eastAsia="仿宋_GB2312" w:cs="仿宋_GB2312"/>
          <w:bCs/>
          <w:color w:val="000000" w:themeColor="text1"/>
          <w:sz w:val="32"/>
          <w:szCs w:val="32"/>
          <w:u w:val="single"/>
          <w:lang w:val="en-US" w:eastAsia="zh-CN"/>
          <w14:textFill>
            <w14:solidFill>
              <w14:schemeClr w14:val="tx1"/>
            </w14:solidFill>
          </w14:textFill>
        </w:rPr>
        <w:t>大浪</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更美丽 龙华环境”字样 </w:t>
      </w:r>
      <w:r>
        <w:rPr>
          <w:rFonts w:hint="eastAsia" w:ascii="仿宋_GB2312" w:hAnsi="仿宋_GB2312" w:eastAsia="仿宋_GB2312" w:cs="仿宋_GB2312"/>
          <w:bCs/>
          <w:color w:val="000000" w:themeColor="text1"/>
          <w:sz w:val="32"/>
          <w:szCs w:val="32"/>
          <w14:textFill>
            <w14:solidFill>
              <w14:schemeClr w14:val="tx1"/>
            </w14:solidFill>
          </w14:textFill>
        </w:rPr>
        <w:t>。</w:t>
      </w:r>
    </w:p>
    <w:p w14:paraId="3620338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000000" w:themeColor="text1"/>
          <w:sz w:val="32"/>
          <w:szCs w:val="32"/>
          <w14:textFill>
            <w14:solidFill>
              <w14:schemeClr w14:val="tx1"/>
            </w14:solidFill>
          </w14:textFill>
        </w:rPr>
        <w:t>（四）交货时间地点：接甲方通知后</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u w:val="single"/>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个</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日历天</w:t>
      </w:r>
      <w:r>
        <w:rPr>
          <w:rFonts w:hint="eastAsia" w:ascii="仿宋_GB2312" w:hAnsi="仿宋_GB2312" w:eastAsia="仿宋_GB2312" w:cs="仿宋_GB2312"/>
          <w:bCs/>
          <w:color w:val="000000" w:themeColor="text1"/>
          <w:sz w:val="32"/>
          <w:szCs w:val="32"/>
          <w14:textFill>
            <w14:solidFill>
              <w14:schemeClr w14:val="tx1"/>
            </w14:solidFill>
          </w14:textFill>
        </w:rPr>
        <w:t>交货；交货地点：深圳市龙华区指定地点</w:t>
      </w:r>
      <w:r>
        <w:rPr>
          <w:rFonts w:hint="eastAsia" w:ascii="仿宋_GB2312" w:hAnsi="仿宋_GB2312" w:eastAsia="仿宋_GB2312" w:cs="仿宋_GB2312"/>
          <w:bCs/>
          <w:color w:val="000000" w:themeColor="text1"/>
          <w:sz w:val="32"/>
          <w:szCs w:val="32"/>
          <w:u w:val="single"/>
          <w14:textFill>
            <w14:solidFill>
              <w14:schemeClr w14:val="tx1"/>
            </w14:solidFill>
          </w14:textFill>
        </w:rPr>
        <w:t>：</w:t>
      </w:r>
      <w:r>
        <w:rPr>
          <w:rFonts w:hint="eastAsia" w:ascii="仿宋_GB2312" w:hAnsi="仿宋_GB2312" w:eastAsia="仿宋_GB2312" w:cs="仿宋_GB2312"/>
          <w:bCs/>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。提供的货物不符合合同规定的规格型号、厂家、质量要求的，甲方有权拒收货物，由此引起的风险，由乙方承担</w:t>
      </w:r>
      <w:r>
        <w:rPr>
          <w:rFonts w:hint="eastAsia" w:ascii="仿宋_GB2312" w:hAnsi="仿宋_GB2312" w:eastAsia="仿宋_GB2312" w:cs="仿宋_GB2312"/>
          <w:sz w:val="32"/>
          <w:szCs w:val="32"/>
        </w:rPr>
        <w:t>，并按全新料塑料垃圾桶价款的一倍承担违约金，甲方有权利单方解除合同，不</w:t>
      </w:r>
      <w:r>
        <w:rPr>
          <w:rFonts w:hint="eastAsia" w:ascii="仿宋_GB2312" w:hAnsi="仿宋_GB2312" w:eastAsia="仿宋_GB2312" w:cs="仿宋_GB2312"/>
          <w:color w:val="auto"/>
          <w:sz w:val="32"/>
          <w:szCs w:val="32"/>
        </w:rPr>
        <w:t>承担相关法律责任。交货前货物毁灭、损坏的风险由乙方承担。</w:t>
      </w:r>
    </w:p>
    <w:p w14:paraId="459689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五）产品材质证明、产品合格证等附随资料和附随配件、工具等交付给甲方，做好相应台账记录（或收货单），有利于交接；乙方不能完整交付货物及本款规定的单证或配件或工具的，视为未按合同约定交货，乙方负责补齐，因此导致逾期交付的，由乙方承担相关的违约责任。</w:t>
      </w:r>
    </w:p>
    <w:p w14:paraId="1E82DF4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六）甲方应当在到货、安装调试合格且接到乙方通知后的7日内对货物进行验收，甲方确保验收前，产品不能使用，一旦由于产品使用过的原因导致产品验收不合格，造成的损失由甲方承担，甲方应在验收合格当日出具验收单等书面材料，甲方逾期未验收、未出具材料的视为验收合格。</w:t>
      </w:r>
    </w:p>
    <w:p w14:paraId="1A3FCB3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（七）质保期内，甲方在产品使用过程中，如果发现全新料塑料垃圾桶产品缺陷或质量问题，由乙方承担一切责任并根据本合同约定承担违约责任，</w:t>
      </w:r>
    </w:p>
    <w:p w14:paraId="667A65C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（八）乙方按国家、行业、企业标准和甲方要求包装，确保全新料塑料垃圾桶安全、无损、无缺，包装物不回收，由甲方处理。</w:t>
      </w:r>
    </w:p>
    <w:p w14:paraId="2FE7C1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（九）如甲方需要对已经污染、正常损坏的垃圾桶进行处理时，乙方应无条件配合免费回收处理。</w:t>
      </w:r>
    </w:p>
    <w:p w14:paraId="0AFFA7F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第六条 保修及其他服务</w:t>
      </w:r>
    </w:p>
    <w:p w14:paraId="59B3071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（一）乙方应按照国家有关法律法规规章或行业标准文件的要求或承诺提供保修及其他服务。</w:t>
      </w:r>
    </w:p>
    <w:p w14:paraId="540DFE9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（二）质保期：货物质保期为</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年</w:t>
      </w:r>
      <w:r>
        <w:rPr>
          <w:rFonts w:hint="eastAsia" w:ascii="仿宋_GB2312" w:hAnsi="仿宋_GB2312" w:eastAsia="仿宋_GB2312" w:cs="仿宋_GB2312"/>
          <w:bCs/>
          <w:color w:val="000000" w:themeColor="text1"/>
          <w:sz w:val="32"/>
          <w:szCs w:val="32"/>
          <w14:textFill>
            <w14:solidFill>
              <w14:schemeClr w14:val="tx1"/>
            </w14:solidFill>
          </w14:textFill>
        </w:rPr>
        <w:t>，时间自验收合格之日开始计算。乙方必须严格遵守《产品质量法》，并完整履行质保期内的免费现场维护服务承诺。在质保期内，如产品出现质量问题,乙方必须及时免费维修或更换垃圾桶及其配件。如果乙方收到甲方通知后，未在规定的响应时间内赶到现场修复故障、缺陷，甲方可采取必要的补救措施，但费用全部由乙方承担。</w:t>
      </w:r>
    </w:p>
    <w:p w14:paraId="3DC8EEC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质保期内，乙方负责对其提供的货物进行维修和系统维护，不再收取任何费用。所有货物保修服务方式均为乙方上门保修，即由乙方派人到货物使用现场维修或更换，由此产生的一切费用均由乙方承担。质保期后的货物维护应由乙方派人上门维修，即由乙方派人员到货物使用现场维修或更换，具体细节和费用另行协商，乙方要给甲方优惠政策，如果协商不成，甲方可采取必要的补救措施，乙方不能干涉，必须按要求做好相关交接工作。</w:t>
      </w:r>
    </w:p>
    <w:p w14:paraId="7FC7105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第七条 货款支付</w:t>
      </w:r>
    </w:p>
    <w:p w14:paraId="0340B8C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单批产品交付并经验收合格后，乙方开具</w:t>
      </w:r>
      <w:r>
        <w:rPr>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的</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增值税专用</w:t>
      </w:r>
      <w:r>
        <w:rPr>
          <w:rFonts w:hint="eastAsia" w:ascii="仿宋_GB2312" w:hAnsi="仿宋_GB2312" w:eastAsia="仿宋_GB2312" w:cs="仿宋_GB2312"/>
          <w:bCs/>
          <w:color w:val="000000" w:themeColor="text1"/>
          <w:sz w:val="32"/>
          <w:szCs w:val="32"/>
          <w14:textFill>
            <w14:solidFill>
              <w14:schemeClr w14:val="tx1"/>
            </w14:solidFill>
          </w14:textFill>
        </w:rPr>
        <w:t>发票，</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甲方</w:t>
      </w:r>
      <w:r>
        <w:rPr>
          <w:rFonts w:hint="eastAsia" w:ascii="仿宋_GB2312" w:hAnsi="仿宋_GB2312" w:eastAsia="仿宋_GB2312" w:cs="仿宋_GB2312"/>
          <w:bCs/>
          <w:color w:val="000000" w:themeColor="text1"/>
          <w:sz w:val="32"/>
          <w:szCs w:val="32"/>
          <w14:textFill>
            <w14:solidFill>
              <w14:schemeClr w14:val="tx1"/>
            </w14:solidFill>
          </w14:textFill>
        </w:rPr>
        <w:t>核实无误后支付</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该</w:t>
      </w:r>
      <w:r>
        <w:rPr>
          <w:rFonts w:hint="eastAsia" w:ascii="仿宋_GB2312" w:hAnsi="仿宋_GB2312" w:eastAsia="仿宋_GB2312" w:cs="仿宋_GB2312"/>
          <w:bCs/>
          <w:color w:val="000000" w:themeColor="text1"/>
          <w:sz w:val="32"/>
          <w:szCs w:val="32"/>
          <w14:textFill>
            <w14:solidFill>
              <w14:schemeClr w14:val="tx1"/>
            </w14:solidFill>
          </w14:textFill>
        </w:rPr>
        <w:t>批次</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产品</w:t>
      </w:r>
      <w:r>
        <w:rPr>
          <w:rFonts w:hint="eastAsia" w:ascii="仿宋_GB2312" w:hAnsi="仿宋_GB2312" w:eastAsia="仿宋_GB2312" w:cs="仿宋_GB2312"/>
          <w:bCs/>
          <w:color w:val="000000" w:themeColor="text1"/>
          <w:sz w:val="32"/>
          <w:szCs w:val="32"/>
          <w14:textFill>
            <w14:solidFill>
              <w14:schemeClr w14:val="tx1"/>
            </w14:solidFill>
          </w14:textFill>
        </w:rPr>
        <w:t>的100%货款（第一批次货物支付货款时，预扣</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Cs/>
          <w:color w:val="000000" w:themeColor="text1"/>
          <w:sz w:val="32"/>
          <w:szCs w:val="32"/>
          <w14:textFill>
            <w14:solidFill>
              <w14:schemeClr w14:val="tx1"/>
            </w14:solidFill>
          </w14:textFill>
        </w:rPr>
        <w:t>万元质保金，其余批次不再扣除，最后一批次货物验收满一年后无息退还）。</w:t>
      </w:r>
    </w:p>
    <w:p w14:paraId="1347B8D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第八条 违约责任</w:t>
      </w:r>
    </w:p>
    <w:p w14:paraId="24F95CB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000000" w:themeColor="text1"/>
          <w:sz w:val="32"/>
          <w:szCs w:val="32"/>
          <w14:textFill>
            <w14:solidFill>
              <w14:schemeClr w14:val="tx1"/>
            </w14:solidFill>
          </w14:textFill>
        </w:rPr>
        <w:t>１、甲方无正当理由拒收货物、拒付货物款，每逾期1天，</w:t>
      </w:r>
      <w:r>
        <w:rPr>
          <w:rFonts w:hint="eastAsia" w:ascii="仿宋_GB2312" w:hAnsi="仿宋_GB2312" w:eastAsia="仿宋_GB2312" w:cs="仿宋_GB2312"/>
          <w:bCs/>
          <w:color w:val="auto"/>
          <w:sz w:val="32"/>
          <w:szCs w:val="32"/>
        </w:rPr>
        <w:t>由甲方向乙方偿付该部分货款的【0</w:t>
      </w:r>
      <w:r>
        <w:rPr>
          <w:rFonts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rPr>
        <w:t>1】‰违约金，如甲方逾期付款达15天，乙方有权解除合同。</w:t>
      </w:r>
    </w:p>
    <w:p w14:paraId="0B2C76A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auto"/>
          <w:sz w:val="32"/>
          <w:szCs w:val="32"/>
        </w:rPr>
        <w:t>（二）乙方逾期交付货物的，每逾期1天，乙方向甲方偿付逾期交货部分货款总额的【0</w:t>
      </w:r>
      <w:r>
        <w:rPr>
          <w:rFonts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rPr>
        <w:t>1】‰的滞纳金。如乙方逾期交货</w:t>
      </w:r>
      <w:r>
        <w:rPr>
          <w:rFonts w:hint="eastAsia" w:ascii="仿宋_GB2312" w:hAnsi="仿宋_GB2312" w:eastAsia="仿宋_GB2312" w:cs="仿宋_GB2312"/>
          <w:bCs/>
          <w:color w:val="000000" w:themeColor="text1"/>
          <w:sz w:val="32"/>
          <w:szCs w:val="32"/>
          <w14:textFill>
            <w14:solidFill>
              <w14:schemeClr w14:val="tx1"/>
            </w14:solidFill>
          </w14:textFill>
        </w:rPr>
        <w:t>达15天，甲方有权解除合同。</w:t>
      </w:r>
    </w:p>
    <w:p w14:paraId="1044AF3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乙方所交付的货物品种、型号、规格不符合合同规定的，甲方有权拒收。甲方可要求乙方更换产品，直到合格，满足甲方使用要求。乙方交付货物质量不符合合同规定、又未提供更换服务的，给甲方造成不良影响的，由乙方向甲方支付不合格部分货物对应货款【100%】的违约金。</w:t>
      </w:r>
    </w:p>
    <w:p w14:paraId="444EC68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（四）在乙方承诺的质量保证期内，如经乙方两次维修或更换，货物仍不能达到合同约定的质量标准，甲方有权退货，乙方应退回全部货款并赔偿甲方因此遭受的损失，垃圾桶更换后重新计算质保期。</w:t>
      </w:r>
    </w:p>
    <w:p w14:paraId="748C384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五）违约方在承担上述一项或多项违约责任后，需继续履行合同规定的义务（合同解除的除外，但是违约方要按约定弥补对方损失）。未能及时追究违约方的任何一项违约责任并不表明守约方放弃追究违约方该项或其他相关违约责任。</w:t>
      </w:r>
    </w:p>
    <w:p w14:paraId="25FCEB1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第九条 其他事项</w:t>
      </w:r>
    </w:p>
    <w:p w14:paraId="169AA83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（一）标志、包装、说明书、运输、贮存等应执行国家或行业有关规定或标准。</w:t>
      </w:r>
    </w:p>
    <w:p w14:paraId="1FA4AB3C">
      <w:pPr>
        <w:keepNext w:val="0"/>
        <w:keepLines w:val="0"/>
        <w:pageBreakBefore w:val="0"/>
        <w:widowControl w:val="0"/>
        <w:tabs>
          <w:tab w:val="left" w:pos="360"/>
        </w:tabs>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（二）在质保期内乙方对产品质量实行免费质保服务，在质保期内，乙方对垃圾桶提供一对一的贴心服务，对垃圾桶使用质量问题或技术咨询</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14:textFill>
            <w14:solidFill>
              <w14:schemeClr w14:val="tx1"/>
            </w14:solidFill>
          </w14:textFill>
        </w:rPr>
        <w:t>1小时内响应，24小时响应并解决</w:t>
      </w:r>
      <w:r>
        <w:rPr>
          <w:rFonts w:hint="eastAsia" w:ascii="仿宋_GB2312" w:hAnsi="仿宋_GB2312" w:eastAsia="仿宋_GB2312" w:cs="仿宋_GB2312"/>
          <w:color w:val="000000" w:themeColor="text1"/>
          <w:sz w:val="32"/>
          <w:szCs w:val="32"/>
          <w14:textFill>
            <w14:solidFill>
              <w14:schemeClr w14:val="tx1"/>
            </w14:solidFill>
          </w14:textFill>
        </w:rPr>
        <w:t>。</w:t>
      </w:r>
    </w:p>
    <w:p w14:paraId="22D685F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第十条 解决纠纷的方式：</w:t>
      </w:r>
    </w:p>
    <w:p w14:paraId="24D716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（一）因货物的质量问题发生争议的，应当邀请国家认可的质量检测机构对货物质量进行鉴定。货物符合质量标准，鉴定费由甲方承担；货物不符合质量标准，鉴定费由乙方承担。</w:t>
      </w:r>
    </w:p>
    <w:p w14:paraId="6D3919A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（二）因履行本合同引起的或与本合同有关的争议，甲、乙双方应首先通过友好协商解决。</w:t>
      </w:r>
    </w:p>
    <w:p w14:paraId="7B3EDA0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（三）如有一方不愿调解或调解不成，双方均可直接向甲方所在地法院提起诉讼。</w:t>
      </w:r>
    </w:p>
    <w:p w14:paraId="13376D9B">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第十一条 文本及份数</w:t>
      </w:r>
    </w:p>
    <w:p w14:paraId="6274100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（一）本合同一式</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陆 </w:t>
      </w:r>
      <w:r>
        <w:rPr>
          <w:rFonts w:hint="eastAsia" w:ascii="仿宋_GB2312" w:hAnsi="仿宋_GB2312" w:eastAsia="仿宋_GB2312" w:cs="仿宋_GB2312"/>
          <w:bCs/>
          <w:color w:val="000000" w:themeColor="text1"/>
          <w:sz w:val="32"/>
          <w:szCs w:val="32"/>
          <w14:textFill>
            <w14:solidFill>
              <w14:schemeClr w14:val="tx1"/>
            </w14:solidFill>
          </w14:textFill>
        </w:rPr>
        <w:t>份，甲方执</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叁 </w:t>
      </w:r>
      <w:r>
        <w:rPr>
          <w:rFonts w:hint="eastAsia" w:ascii="仿宋_GB2312" w:hAnsi="仿宋_GB2312" w:eastAsia="仿宋_GB2312" w:cs="仿宋_GB2312"/>
          <w:bCs/>
          <w:color w:val="000000" w:themeColor="text1"/>
          <w:sz w:val="32"/>
          <w:szCs w:val="32"/>
          <w14:textFill>
            <w14:solidFill>
              <w14:schemeClr w14:val="tx1"/>
            </w14:solidFill>
          </w14:textFill>
        </w:rPr>
        <w:t>份，乙方执</w:t>
      </w:r>
      <w:r>
        <w:rPr>
          <w:rFonts w:hint="eastAsia" w:ascii="仿宋_GB2312" w:hAnsi="仿宋_GB2312" w:eastAsia="仿宋_GB2312" w:cs="仿宋_GB2312"/>
          <w:bCs/>
          <w:color w:val="000000" w:themeColor="text1"/>
          <w:sz w:val="32"/>
          <w:szCs w:val="32"/>
          <w:u w:val="single"/>
          <w14:textFill>
            <w14:solidFill>
              <w14:schemeClr w14:val="tx1"/>
            </w14:solidFill>
          </w14:textFill>
        </w:rPr>
        <w:t xml:space="preserve"> 叁 </w:t>
      </w:r>
      <w:r>
        <w:rPr>
          <w:rFonts w:hint="eastAsia" w:ascii="仿宋_GB2312" w:hAnsi="仿宋_GB2312" w:eastAsia="仿宋_GB2312" w:cs="仿宋_GB2312"/>
          <w:bCs/>
          <w:color w:val="000000" w:themeColor="text1"/>
          <w:sz w:val="32"/>
          <w:szCs w:val="32"/>
          <w14:textFill>
            <w14:solidFill>
              <w14:schemeClr w14:val="tx1"/>
            </w14:solidFill>
          </w14:textFill>
        </w:rPr>
        <w:t>份，均具有同等法律效力。</w:t>
      </w:r>
    </w:p>
    <w:p w14:paraId="46ED5E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（二）双方确认的之前买卖双方提供的所有文件为本合同的补充，具有同等法律效力；如未约定的事项，以合同约定为准或双方再行商议决定。</w:t>
      </w:r>
    </w:p>
    <w:p w14:paraId="623C390E">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第十四条 合同附件</w:t>
      </w:r>
    </w:p>
    <w:p w14:paraId="1B04DC0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下列文件属本合同不可分割的组成部分，均具有同等的法律效力：</w:t>
      </w:r>
    </w:p>
    <w:p w14:paraId="400BCEE4">
      <w:pPr>
        <w:keepNext w:val="0"/>
        <w:keepLines w:val="0"/>
        <w:pageBreakBefore w:val="0"/>
        <w:widowControl w:val="0"/>
        <w:kinsoku/>
        <w:wordWrap/>
        <w:overflowPunct/>
        <w:topLinePunct w:val="0"/>
        <w:autoSpaceDE/>
        <w:autoSpaceDN/>
        <w:bidi w:val="0"/>
        <w:adjustRightInd/>
        <w:snapToGrid/>
        <w:spacing w:line="540" w:lineRule="exact"/>
        <w:ind w:left="958" w:leftChars="304" w:hanging="320" w:hangingChars="1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1.产品技术参数</w:t>
      </w:r>
    </w:p>
    <w:p w14:paraId="74A45F15">
      <w:pPr>
        <w:keepNext w:val="0"/>
        <w:keepLines w:val="0"/>
        <w:pageBreakBefore w:val="0"/>
        <w:widowControl w:val="0"/>
        <w:kinsoku/>
        <w:wordWrap/>
        <w:overflowPunct/>
        <w:topLinePunct w:val="0"/>
        <w:autoSpaceDE/>
        <w:autoSpaceDN/>
        <w:bidi w:val="0"/>
        <w:adjustRightInd/>
        <w:snapToGrid/>
        <w:spacing w:line="540" w:lineRule="exact"/>
        <w:ind w:left="958" w:leftChars="304" w:hanging="320" w:hangingChars="1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2.采购廉洁承诺书</w:t>
      </w:r>
    </w:p>
    <w:p w14:paraId="22394AEB">
      <w:pPr>
        <w:keepNext w:val="0"/>
        <w:keepLines w:val="0"/>
        <w:pageBreakBefore w:val="0"/>
        <w:widowControl w:val="0"/>
        <w:kinsoku/>
        <w:wordWrap/>
        <w:overflowPunct/>
        <w:topLinePunct w:val="0"/>
        <w:autoSpaceDE/>
        <w:autoSpaceDN/>
        <w:bidi w:val="0"/>
        <w:adjustRightInd/>
        <w:snapToGrid/>
        <w:spacing w:line="540" w:lineRule="exact"/>
        <w:ind w:left="958" w:leftChars="304" w:hanging="320" w:hangingChars="1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3.货物类合同履约评价评分表</w:t>
      </w:r>
    </w:p>
    <w:p w14:paraId="1CB3957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以下无正文。</w:t>
      </w:r>
    </w:p>
    <w:p w14:paraId="73F79C2D">
      <w:pPr>
        <w:rPr>
          <w:rFonts w:asciiTheme="minorEastAsia" w:hAnsiTheme="minorEastAsia" w:eastAsiaTheme="minorEastAsia"/>
          <w:sz w:val="24"/>
        </w:rPr>
      </w:pPr>
      <w:r>
        <w:rPr>
          <w:rFonts w:hint="eastAsia" w:asciiTheme="minorEastAsia" w:hAnsiTheme="minorEastAsia" w:eastAsiaTheme="minorEastAsia"/>
          <w:sz w:val="24"/>
        </w:rPr>
        <w:br w:type="page"/>
      </w:r>
    </w:p>
    <w:tbl>
      <w:tblPr>
        <w:tblStyle w:val="18"/>
        <w:tblpPr w:leftFromText="180" w:rightFromText="180" w:vertAnchor="text" w:horzAnchor="page" w:tblpXSpec="center" w:tblpY="454"/>
        <w:tblOverlap w:val="never"/>
        <w:tblW w:w="556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00"/>
        <w:gridCol w:w="4987"/>
      </w:tblGrid>
      <w:tr w14:paraId="28FF6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5000" w:type="pct"/>
            <w:gridSpan w:val="2"/>
            <w:vAlign w:val="center"/>
          </w:tcPr>
          <w:p w14:paraId="770902D9">
            <w:pPr>
              <w:spacing w:line="56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en-US"/>
              </w:rPr>
              <w:t>（</w:t>
            </w:r>
            <w:r>
              <w:rPr>
                <w:rFonts w:hint="eastAsia" w:ascii="仿宋_GB2312" w:hAnsi="仿宋_GB2312" w:eastAsia="仿宋_GB2312" w:cs="仿宋_GB2312"/>
                <w:sz w:val="32"/>
                <w:szCs w:val="32"/>
              </w:rPr>
              <w:t>合同签署页</w:t>
            </w:r>
            <w:r>
              <w:rPr>
                <w:rFonts w:hint="eastAsia" w:ascii="仿宋_GB2312" w:hAnsi="仿宋_GB2312" w:eastAsia="仿宋_GB2312" w:cs="仿宋_GB2312"/>
                <w:sz w:val="32"/>
                <w:szCs w:val="32"/>
                <w:lang w:eastAsia="en-US"/>
              </w:rPr>
              <w:t>）</w:t>
            </w:r>
          </w:p>
        </w:tc>
      </w:tr>
      <w:tr w14:paraId="258D3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6" w:hRule="atLeast"/>
          <w:jc w:val="center"/>
        </w:trPr>
        <w:tc>
          <w:tcPr>
            <w:tcW w:w="2528" w:type="pct"/>
            <w:vAlign w:val="center"/>
          </w:tcPr>
          <w:p w14:paraId="1A5BCAA3">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甲方（公章）：</w:t>
            </w:r>
          </w:p>
          <w:p w14:paraId="363ED2D4">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深圳市龙华环境有限公司</w:t>
            </w:r>
          </w:p>
        </w:tc>
        <w:tc>
          <w:tcPr>
            <w:tcW w:w="2471" w:type="pct"/>
            <w:vAlign w:val="center"/>
          </w:tcPr>
          <w:p w14:paraId="22F4C474">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乙方（公章）：</w:t>
            </w:r>
          </w:p>
          <w:p w14:paraId="5370CB35">
            <w:pPr>
              <w:spacing w:line="560" w:lineRule="exact"/>
              <w:rPr>
                <w:rFonts w:hint="eastAsia" w:ascii="仿宋_GB2312" w:hAnsi="仿宋_GB2312" w:eastAsia="仿宋_GB2312" w:cs="仿宋_GB2312"/>
                <w:sz w:val="32"/>
                <w:szCs w:val="32"/>
                <w:lang w:eastAsia="zh-CN"/>
              </w:rPr>
            </w:pPr>
          </w:p>
        </w:tc>
      </w:tr>
      <w:tr w14:paraId="380B3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jc w:val="center"/>
        </w:trPr>
        <w:tc>
          <w:tcPr>
            <w:tcW w:w="2528" w:type="pct"/>
            <w:vAlign w:val="center"/>
          </w:tcPr>
          <w:p w14:paraId="142EBFCA">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法定代表人或</w:t>
            </w:r>
          </w:p>
          <w:p w14:paraId="25D596F7">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其委托代理人（签名）：</w:t>
            </w:r>
          </w:p>
          <w:p w14:paraId="6E9B580A">
            <w:pPr>
              <w:pStyle w:val="4"/>
              <w:rPr>
                <w:lang w:eastAsia="en-US"/>
              </w:rPr>
            </w:pPr>
          </w:p>
        </w:tc>
        <w:tc>
          <w:tcPr>
            <w:tcW w:w="2471" w:type="pct"/>
            <w:vAlign w:val="center"/>
          </w:tcPr>
          <w:p w14:paraId="1DB09BA3">
            <w:pPr>
              <w:spacing w:line="560" w:lineRule="exact"/>
              <w:jc w:val="lef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法定代表人或</w:t>
            </w:r>
          </w:p>
          <w:p w14:paraId="540A2B18">
            <w:pPr>
              <w:spacing w:line="560" w:lineRule="exact"/>
              <w:jc w:val="lef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其委托代理人（签名）：</w:t>
            </w:r>
          </w:p>
          <w:p w14:paraId="470E5F1B">
            <w:pPr>
              <w:pStyle w:val="4"/>
              <w:rPr>
                <w:lang w:eastAsia="en-US"/>
              </w:rPr>
            </w:pPr>
          </w:p>
        </w:tc>
      </w:tr>
      <w:tr w14:paraId="523C9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528" w:type="pct"/>
          </w:tcPr>
          <w:p w14:paraId="6D6EC001">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统一社会信用代码：</w:t>
            </w:r>
          </w:p>
          <w:p w14:paraId="6487D32E">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91440300MA5F4K33XD</w:t>
            </w:r>
          </w:p>
        </w:tc>
        <w:tc>
          <w:tcPr>
            <w:tcW w:w="2471" w:type="pct"/>
          </w:tcPr>
          <w:p w14:paraId="1DF48548">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统一社会信用代码：</w:t>
            </w:r>
          </w:p>
          <w:p w14:paraId="7BA9F8BA">
            <w:pPr>
              <w:spacing w:line="560" w:lineRule="exact"/>
              <w:rPr>
                <w:rFonts w:ascii="仿宋_GB2312" w:hAnsi="仿宋_GB2312" w:eastAsia="仿宋_GB2312" w:cs="仿宋_GB2312"/>
                <w:sz w:val="32"/>
                <w:szCs w:val="32"/>
                <w:lang w:eastAsia="en-US"/>
              </w:rPr>
            </w:pPr>
          </w:p>
        </w:tc>
      </w:tr>
      <w:tr w14:paraId="4DD8D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2" w:hRule="atLeast"/>
          <w:jc w:val="center"/>
        </w:trPr>
        <w:tc>
          <w:tcPr>
            <w:tcW w:w="2528" w:type="pct"/>
            <w:vAlign w:val="center"/>
          </w:tcPr>
          <w:p w14:paraId="421A64F8">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 xml:space="preserve">地址：深圳市龙华区观湖街道鹭湖社区观盛三路10号龙馨家园A栋1501 </w:t>
            </w:r>
          </w:p>
        </w:tc>
        <w:tc>
          <w:tcPr>
            <w:tcW w:w="2471" w:type="pct"/>
          </w:tcPr>
          <w:p w14:paraId="58F3AA17">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地址：</w:t>
            </w:r>
          </w:p>
        </w:tc>
      </w:tr>
      <w:tr w14:paraId="0C19E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2528" w:type="pct"/>
          </w:tcPr>
          <w:p w14:paraId="3B293895">
            <w:pPr>
              <w:spacing w:line="560" w:lineRule="exact"/>
              <w:rPr>
                <w:rFonts w:ascii="仿宋_GB2312" w:hAnsi="仿宋_GB2312" w:eastAsia="仿宋_GB2312" w:cs="仿宋_GB2312"/>
                <w:sz w:val="32"/>
                <w:szCs w:val="32"/>
                <w:lang w:eastAsia="en-US"/>
              </w:rPr>
            </w:pPr>
          </w:p>
        </w:tc>
        <w:tc>
          <w:tcPr>
            <w:tcW w:w="2471" w:type="pct"/>
          </w:tcPr>
          <w:p w14:paraId="7F31FE5D">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开户银行：</w:t>
            </w:r>
          </w:p>
        </w:tc>
      </w:tr>
      <w:tr w14:paraId="4E0C0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2528" w:type="pct"/>
          </w:tcPr>
          <w:p w14:paraId="64E587B0">
            <w:pPr>
              <w:spacing w:line="560" w:lineRule="exact"/>
              <w:rPr>
                <w:rFonts w:ascii="仿宋_GB2312" w:hAnsi="仿宋_GB2312" w:eastAsia="仿宋_GB2312" w:cs="仿宋_GB2312"/>
                <w:sz w:val="32"/>
                <w:szCs w:val="32"/>
                <w:lang w:eastAsia="en-US"/>
              </w:rPr>
            </w:pPr>
          </w:p>
        </w:tc>
        <w:tc>
          <w:tcPr>
            <w:tcW w:w="2471" w:type="pct"/>
          </w:tcPr>
          <w:p w14:paraId="6BAE177B">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银行账号：</w:t>
            </w:r>
          </w:p>
        </w:tc>
      </w:tr>
      <w:tr w14:paraId="5E71F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2528" w:type="pct"/>
            <w:vAlign w:val="center"/>
          </w:tcPr>
          <w:p w14:paraId="7A162050">
            <w:p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en-US"/>
              </w:rPr>
              <w:t>合同联系人：</w:t>
            </w:r>
            <w:r>
              <w:rPr>
                <w:rFonts w:hint="eastAsia" w:ascii="仿宋_GB2312" w:hAnsi="仿宋_GB2312" w:eastAsia="仿宋_GB2312" w:cs="仿宋_GB2312"/>
                <w:sz w:val="32"/>
                <w:szCs w:val="32"/>
                <w:lang w:val="en-US" w:eastAsia="zh-CN"/>
              </w:rPr>
              <w:t>许伦嘉</w:t>
            </w:r>
          </w:p>
        </w:tc>
        <w:tc>
          <w:tcPr>
            <w:tcW w:w="2471" w:type="pct"/>
            <w:vAlign w:val="center"/>
          </w:tcPr>
          <w:p w14:paraId="209770EB">
            <w:p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en-US"/>
              </w:rPr>
              <w:t>合同联系人：</w:t>
            </w:r>
          </w:p>
        </w:tc>
      </w:tr>
      <w:tr w14:paraId="2E1F9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2528" w:type="pct"/>
            <w:vAlign w:val="center"/>
          </w:tcPr>
          <w:p w14:paraId="05B5F8A3">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联系方式：15818592677</w:t>
            </w:r>
          </w:p>
        </w:tc>
        <w:tc>
          <w:tcPr>
            <w:tcW w:w="2471" w:type="pct"/>
            <w:vAlign w:val="center"/>
          </w:tcPr>
          <w:p w14:paraId="412278A5">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 xml:space="preserve">联系方式： </w:t>
            </w:r>
          </w:p>
        </w:tc>
      </w:tr>
      <w:tr w14:paraId="55BC6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2528" w:type="pct"/>
            <w:vAlign w:val="center"/>
          </w:tcPr>
          <w:p w14:paraId="0E2D9539">
            <w:pPr>
              <w:spacing w:line="560" w:lineRule="exact"/>
              <w:ind w:firstLine="420"/>
              <w:rPr>
                <w:rFonts w:ascii="仿宋_GB2312" w:hAnsi="仿宋_GB2312" w:eastAsia="仿宋_GB2312" w:cs="仿宋_GB2312"/>
                <w:sz w:val="32"/>
                <w:szCs w:val="32"/>
                <w:lang w:eastAsia="en-US"/>
              </w:rPr>
            </w:pPr>
          </w:p>
        </w:tc>
        <w:tc>
          <w:tcPr>
            <w:tcW w:w="2471" w:type="pct"/>
            <w:vAlign w:val="center"/>
          </w:tcPr>
          <w:p w14:paraId="2A844523">
            <w:pPr>
              <w:spacing w:line="560" w:lineRule="exact"/>
              <w:ind w:firstLine="420"/>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w:t>
            </w:r>
          </w:p>
        </w:tc>
      </w:tr>
      <w:tr w14:paraId="7751D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2528" w:type="pct"/>
            <w:vAlign w:val="center"/>
          </w:tcPr>
          <w:p w14:paraId="3044CFB0">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合同签订时间：202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en-US"/>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en-US"/>
              </w:rPr>
              <w:t>月  日</w:t>
            </w:r>
          </w:p>
        </w:tc>
        <w:tc>
          <w:tcPr>
            <w:tcW w:w="2471" w:type="pct"/>
            <w:vAlign w:val="center"/>
          </w:tcPr>
          <w:p w14:paraId="0972619F">
            <w:pPr>
              <w:spacing w:line="560" w:lineRule="exact"/>
              <w:rPr>
                <w:rFonts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合同签订时间：202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en-US"/>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en-US"/>
              </w:rPr>
              <w:t>月  日</w:t>
            </w:r>
          </w:p>
        </w:tc>
      </w:tr>
    </w:tbl>
    <w:p w14:paraId="419AF317">
      <w:pPr>
        <w:ind w:firstLine="630"/>
        <w:rPr>
          <w:rFonts w:asciiTheme="minorEastAsia" w:hAnsiTheme="minorEastAsia" w:eastAsiaTheme="minorEastAsia"/>
          <w:sz w:val="24"/>
        </w:rPr>
      </w:pPr>
    </w:p>
    <w:p w14:paraId="1D228718">
      <w:pPr>
        <w:ind w:firstLine="630"/>
        <w:rPr>
          <w:rFonts w:asciiTheme="minorEastAsia" w:hAnsiTheme="minorEastAsia" w:eastAsiaTheme="minorEastAsia"/>
          <w:sz w:val="24"/>
        </w:rPr>
      </w:pPr>
    </w:p>
    <w:p w14:paraId="34F38BDF">
      <w:pPr>
        <w:tabs>
          <w:tab w:val="left" w:pos="3510"/>
        </w:tabs>
        <w:rPr>
          <w:rFonts w:asciiTheme="minorEastAsia" w:hAnsiTheme="minorEastAsia" w:eastAsiaTheme="minorEastAsia"/>
          <w:sz w:val="24"/>
        </w:rPr>
      </w:pPr>
      <w:r>
        <w:rPr>
          <w:rFonts w:asciiTheme="minorEastAsia" w:hAnsiTheme="minorEastAsia" w:eastAsiaTheme="minorEastAsia"/>
          <w:b/>
          <w:bCs/>
          <w:sz w:val="24"/>
        </w:rPr>
        <w:br w:type="page"/>
      </w:r>
    </w:p>
    <w:p w14:paraId="646506D1">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附件1：产品技术参数</w:t>
      </w:r>
    </w:p>
    <w:p w14:paraId="0E8A16AC">
      <w:pPr>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23058F8">
      <w:pPr>
        <w:widowControl/>
        <w:spacing w:line="560" w:lineRule="exact"/>
        <w:ind w:firstLine="640" w:firstLineChars="200"/>
        <w:rPr>
          <w:rFonts w:ascii="仿宋_GB2312" w:hAnsi="仿宋_GB2312" w:eastAsia="仿宋_GB2312" w:cs="仿宋_GB2312"/>
          <w:sz w:val="32"/>
          <w:szCs w:val="32"/>
        </w:rPr>
      </w:pPr>
      <w:bookmarkStart w:id="2" w:name="_GoBack"/>
      <w:bookmarkEnd w:id="2"/>
      <w:r>
        <w:rPr>
          <w:rFonts w:hint="eastAsia" w:ascii="仿宋_GB2312" w:hAnsi="仿宋_GB2312" w:eastAsia="仿宋_GB2312" w:cs="仿宋_GB2312"/>
          <w:sz w:val="32"/>
          <w:szCs w:val="32"/>
        </w:rPr>
        <w:t>附件2：</w:t>
      </w:r>
    </w:p>
    <w:p w14:paraId="75FE3E82">
      <w:pPr>
        <w:adjustRightInd w:val="0"/>
        <w:snapToGrid w:val="0"/>
        <w:spacing w:line="580" w:lineRule="exact"/>
        <w:jc w:val="center"/>
        <w:textAlignment w:val="baseline"/>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采购廉洁承诺书</w:t>
      </w:r>
    </w:p>
    <w:p w14:paraId="1F2E7DFD">
      <w:pPr>
        <w:pStyle w:val="2"/>
        <w:spacing w:line="580" w:lineRule="exact"/>
        <w:ind w:firstLine="0"/>
        <w:rPr>
          <w:rFonts w:ascii="仿宋_GB2312" w:hAnsi="仿宋_GB2312" w:eastAsia="仿宋_GB2312" w:cs="仿宋_GB2312"/>
          <w:sz w:val="32"/>
          <w:szCs w:val="32"/>
        </w:rPr>
      </w:pPr>
    </w:p>
    <w:p w14:paraId="33A92311">
      <w:pPr>
        <w:snapToGrid w:val="0"/>
        <w:spacing w:line="580" w:lineRule="exac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b/>
          <w:bCs/>
          <w:sz w:val="32"/>
          <w:szCs w:val="32"/>
          <w:u w:val="single"/>
        </w:rPr>
        <w:t>深圳市龙华环境有限公司</w:t>
      </w:r>
      <w:r>
        <w:rPr>
          <w:rFonts w:hint="eastAsia" w:ascii="仿宋_GB2312" w:hAnsi="仿宋_GB2312" w:eastAsia="仿宋_GB2312" w:cs="仿宋_GB2312"/>
          <w:sz w:val="32"/>
          <w:szCs w:val="32"/>
          <w:u w:val="single"/>
        </w:rPr>
        <w:t xml:space="preserve"> </w:t>
      </w:r>
    </w:p>
    <w:p w14:paraId="35231296">
      <w:pPr>
        <w:snapToGrid w:val="0"/>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u w:val="single"/>
        </w:rPr>
        <w:t xml:space="preserve">  </w:t>
      </w:r>
    </w:p>
    <w:p w14:paraId="73CB6D2A">
      <w:pPr>
        <w:spacing w:line="580" w:lineRule="exact"/>
        <w:ind w:firstLine="640" w:firstLineChars="200"/>
        <w:rPr>
          <w:rFonts w:ascii="仿宋_GB2312" w:hAnsi="仿宋_GB2312" w:eastAsia="仿宋_GB2312" w:cs="仿宋_GB2312"/>
          <w:sz w:val="32"/>
          <w:szCs w:val="32"/>
        </w:rPr>
      </w:pPr>
    </w:p>
    <w:p w14:paraId="6083ADC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为加强</w:t>
      </w:r>
      <w:r>
        <w:rPr>
          <w:rFonts w:hint="eastAsia" w:ascii="仿宋_GB2312" w:hAnsi="仿宋_GB2312" w:eastAsia="仿宋_GB2312" w:cs="仿宋_GB2312"/>
          <w:sz w:val="32"/>
          <w:szCs w:val="32"/>
          <w:u w:val="single"/>
        </w:rPr>
        <w:t xml:space="preserve"> 大浪街道城市管家项目660L垃圾桶及配件采购 </w:t>
      </w:r>
      <w:r>
        <w:rPr>
          <w:rFonts w:hint="eastAsia" w:ascii="仿宋_GB2312" w:hAnsi="仿宋_GB2312" w:eastAsia="仿宋_GB2312" w:cs="仿宋_GB2312"/>
          <w:sz w:val="32"/>
          <w:szCs w:val="32"/>
        </w:rPr>
        <w:t>项目采购中的廉洁建设，规范甲乙双方的各项活动，防止发生各种谋取不正当利益的违法违纪行为，保护甲乙双方的合法权益，保证国有资产的安全和有效使用，根据国家有关规定和廉洁从业的各项要求，双方签订本廉洁承诺书（以下简称“承诺书”）。</w:t>
      </w:r>
    </w:p>
    <w:p w14:paraId="28188B09">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第一条 甲乙双方的权利和责任</w:t>
      </w:r>
    </w:p>
    <w:p w14:paraId="7BA18FA7">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（一）严格遵守国家法律法规、廉洁从业规定以及相关行业规定。</w:t>
      </w:r>
    </w:p>
    <w:p w14:paraId="5AF6F5A7">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（二）严格执行一切合同文件及本承诺条款，自觉履行权利和责任。</w:t>
      </w:r>
    </w:p>
    <w:p w14:paraId="711D4AD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（三）双方的业务活动应坚持公平、公开、公正和诚信的原则（法律法规另有规定除外），不得损害国家、集体和对方利益，不得违反相关规章制度。</w:t>
      </w:r>
    </w:p>
    <w:p w14:paraId="46EB0960">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（四）建立健全廉洁制度，开展廉洁教育，公布监督部门和电话，监督并认真查处违纪违法行为。</w:t>
      </w:r>
    </w:p>
    <w:p w14:paraId="68930790">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（五）发现对方在业务活动中有违反本承诺的行为倾向，在三个作日内有权利和义务及时给予提醒和纠正。</w:t>
      </w:r>
    </w:p>
    <w:p w14:paraId="4B5C72A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（六）发现对方有违反本承诺的行为，应五个工作日内向指定的监督部门举报控告，也有权向纪检监察或司法机关举报控告。</w:t>
      </w:r>
    </w:p>
    <w:p w14:paraId="68E4131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（七）双方应互相配合，积极开展廉洁教育、学习和宣传活动，有配合对方履行本承诺的责任。</w:t>
      </w:r>
    </w:p>
    <w:p w14:paraId="551C85F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（八）一方有不履行或不完全履行廉洁宣传教育责任的，另一方有权利和责任要求对方履行和督促改进。</w:t>
      </w:r>
    </w:p>
    <w:p w14:paraId="06D8344A">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第二条 甲方的责任</w:t>
      </w:r>
    </w:p>
    <w:p w14:paraId="59DB8EA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（一）甲方人员不得要求乙方购买合同约定以外的商品、物品、设备和服务等。</w:t>
      </w:r>
    </w:p>
    <w:p w14:paraId="789EF7FD">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（二）甲方人员不得索要、接受乙方违反法规赠送的现金、有价证券、支付凭证或股份等各种财物；不得索要、接受乙方违反法规提供的通讯工具、交通工具、高档办公用品。</w:t>
      </w:r>
    </w:p>
    <w:p w14:paraId="3EF88E95">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（三）甲方人员不得索要、接受乙方对个人或配偶子女等亲属亲友的馈赠、赞助、费用报销、装修、旅游、疗养、健身以及各种高消费娱乐等活动。</w:t>
      </w:r>
    </w:p>
    <w:p w14:paraId="4BF2574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甲方人员不得索要、接受乙方为本人配偶子女等亲属亲友提供工作的安排、照顾和便利等；本人及配偶子女等亲属亲友不得从事与乙方单位有关的业务活动（包括但不限于招投标、合同签订、履约、验收等环节，不得承接乙方与本项目相关的分包业务或关联业务）。</w:t>
      </w:r>
    </w:p>
    <w:p w14:paraId="32F9A0D7">
      <w:pPr>
        <w:pStyle w:val="2"/>
        <w:widowControl w:val="0"/>
        <w:spacing w:line="580" w:lineRule="exact"/>
        <w:ind w:firstLine="640" w:firstLineChars="200"/>
        <w:rPr>
          <w:rFonts w:eastAsia="仿宋_GB2312"/>
        </w:rPr>
      </w:pPr>
      <w:r>
        <w:rPr>
          <w:rFonts w:hint="eastAsia" w:ascii="仿宋_GB2312" w:hAnsi="仿宋_GB2312" w:eastAsia="仿宋_GB2312" w:cs="仿宋_GB2312"/>
          <w:sz w:val="32"/>
          <w:szCs w:val="32"/>
        </w:rPr>
        <w:t>（五）不得以任何理由要求乙方和相关单位在业务活动中进行违反廉政规定的行为。</w:t>
      </w:r>
    </w:p>
    <w:p w14:paraId="359E5842">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第三条 乙方的责任</w:t>
      </w:r>
    </w:p>
    <w:p w14:paraId="40D6DF1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（一）乙方不得接受甲方要求购买合同约定以外的商品、物品、设备和服务等要求。</w:t>
      </w:r>
    </w:p>
    <w:p w14:paraId="3FCDA47D">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（二）乙方不得以任何理由违反法规向甲方人员赠送现金、有价证券、支付凭证或股份等各种财物；不得违反法规向甲方人员提供通讯工具、交通工具、高档办公用品等。</w:t>
      </w:r>
    </w:p>
    <w:p w14:paraId="4C9D4C2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（三）乙方不得对甲方人员个人或其配偶子女等亲属亲友提供馈赠、赞助、费用报销、装修、旅游、疗养、健身以及各种高消费娱乐等活动。</w:t>
      </w:r>
    </w:p>
    <w:p w14:paraId="216435C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乙方不得为甲方人员个人的配偶子女等亲属亲友提供工作的安排、照顾和便利等；不得接受甲方人员个人及配偶子女等亲属亲友从事与乙方有关的业务活动的要求（包括但不限于招投标、合同签订、履约、验收等环节，不得承接乙方与本项目相关的分包业务或关联业务）</w:t>
      </w:r>
    </w:p>
    <w:p w14:paraId="2F16A169">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（五）乙方发现甲方人员存在违反本承诺书的行为，应在 5 个工作日内向甲方监督部门举报；若乙方隐瞒不报，视同乙方共同违规，承担连带责任”。</w:t>
      </w:r>
    </w:p>
    <w:p w14:paraId="20CBD055">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第四条 违约责任</w:t>
      </w:r>
    </w:p>
    <w:p w14:paraId="63231FA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（一）甲方人员违反本承诺第一条和第二条规定的，由甲方按照管理权限，依据有关法律和规定给予党纪、政纪处分或组织处理，涉嫌犯罪的，移交司法机关追究刑事责任；给乙方造成经济损失的，应予赔偿。</w:t>
      </w:r>
    </w:p>
    <w:p w14:paraId="1D15B38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（二）乙方人员违反本承诺第一条和第三条规定的，由乙方按照管理权限，依据有关法律和规定给予党纪、政纪处分或组织处理，涉嫌犯罪的，移交司法机关追究刑事责任；给甲方造成经济损失的，应予赔偿。</w:t>
      </w:r>
    </w:p>
    <w:p w14:paraId="6998F935">
      <w:pPr>
        <w:spacing w:line="58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第五条 本承诺书作为采购合同的附件，与合同具有同等法律效力。在双方签订采购合同的同时签订本承诺，经双方签订后生效，有效时间为双方签订之日起至合同执行完毕时止。本承诺书份数与合同份数相同。</w:t>
      </w:r>
    </w:p>
    <w:p w14:paraId="61620797">
      <w:pPr>
        <w:pStyle w:val="4"/>
      </w:pPr>
    </w:p>
    <w:p w14:paraId="32A297B8">
      <w:pPr>
        <w:spacing w:line="580" w:lineRule="exact"/>
        <w:rPr>
          <w:rFonts w:ascii="仿宋_GB2312" w:hAnsi="仿宋_GB2312" w:eastAsia="仿宋_GB2312" w:cs="仿宋_GB2312"/>
          <w:sz w:val="32"/>
          <w:szCs w:val="32"/>
        </w:rPr>
      </w:pPr>
    </w:p>
    <w:tbl>
      <w:tblPr>
        <w:tblStyle w:val="19"/>
        <w:tblpPr w:leftFromText="180" w:rightFromText="180" w:vertAnchor="text" w:horzAnchor="page" w:tblpXSpec="center" w:tblpY="559"/>
        <w:tblOverlap w:val="never"/>
        <w:tblW w:w="92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9"/>
        <w:gridCol w:w="4649"/>
      </w:tblGrid>
      <w:tr w14:paraId="3A778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atLeast"/>
          <w:jc w:val="center"/>
        </w:trPr>
        <w:tc>
          <w:tcPr>
            <w:tcW w:w="4649" w:type="dxa"/>
            <w:vAlign w:val="center"/>
          </w:tcPr>
          <w:p w14:paraId="02C0526F">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甲方（盖章）：深圳市龙华环境有限公司</w:t>
            </w:r>
          </w:p>
        </w:tc>
        <w:tc>
          <w:tcPr>
            <w:tcW w:w="4649" w:type="dxa"/>
            <w:vAlign w:val="center"/>
          </w:tcPr>
          <w:p w14:paraId="0BBC0C11">
            <w:pPr>
              <w:widowControl/>
              <w:spacing w:line="560" w:lineRule="exac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乙方（盖章）：</w:t>
            </w:r>
          </w:p>
        </w:tc>
      </w:tr>
      <w:tr w14:paraId="0F6AE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atLeast"/>
          <w:jc w:val="center"/>
        </w:trPr>
        <w:tc>
          <w:tcPr>
            <w:tcW w:w="4649" w:type="dxa"/>
            <w:vAlign w:val="center"/>
          </w:tcPr>
          <w:p w14:paraId="4EC21999">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w:t>
            </w:r>
          </w:p>
          <w:p w14:paraId="35C9C284">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（签字或盖章）：</w:t>
            </w:r>
          </w:p>
        </w:tc>
        <w:tc>
          <w:tcPr>
            <w:tcW w:w="4649" w:type="dxa"/>
            <w:vAlign w:val="center"/>
          </w:tcPr>
          <w:p w14:paraId="623AEA67">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w:t>
            </w:r>
          </w:p>
          <w:p w14:paraId="718D2E39">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（签字或盖章）：</w:t>
            </w:r>
          </w:p>
        </w:tc>
      </w:tr>
      <w:tr w14:paraId="76D65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4649" w:type="dxa"/>
            <w:vAlign w:val="center"/>
          </w:tcPr>
          <w:p w14:paraId="77C46384">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日期：    年    月    日</w:t>
            </w:r>
          </w:p>
        </w:tc>
        <w:tc>
          <w:tcPr>
            <w:tcW w:w="4649" w:type="dxa"/>
            <w:vAlign w:val="center"/>
          </w:tcPr>
          <w:p w14:paraId="0E08783E">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日期：    年    月    日</w:t>
            </w:r>
          </w:p>
        </w:tc>
      </w:tr>
    </w:tbl>
    <w:p w14:paraId="0A59E4EE"/>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1B69C">
    <w:pPr>
      <w:pStyle w:val="8"/>
      <w:jc w:val="right"/>
      <w:rPr>
        <w:rFonts w:ascii="仿宋" w:hAnsi="仿宋" w:eastAsia="仿宋" w:cs="仿宋"/>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6C1EF">
                          <w:pPr>
                            <w:pStyle w:val="8"/>
                            <w:jc w:val="right"/>
                          </w:pPr>
                          <w:r>
                            <w:rPr>
                              <w:rFonts w:hint="eastAsia" w:ascii="仿宋" w:hAnsi="仿宋" w:eastAsia="仿宋" w:cs="仿宋"/>
                              <w:sz w:val="24"/>
                              <w:szCs w:val="24"/>
                            </w:rPr>
                            <w:t>第</w:t>
                          </w:r>
                          <w:r>
                            <w:rPr>
                              <w:rFonts w:hint="eastAsia" w:ascii="仿宋" w:hAnsi="仿宋" w:eastAsia="仿宋" w:cs="仿宋"/>
                              <w:sz w:val="24"/>
                              <w:szCs w:val="24"/>
                            </w:rPr>
                            <w:fldChar w:fldCharType="begin"/>
                          </w:r>
                          <w:r>
                            <w:rPr>
                              <w:rStyle w:val="14"/>
                              <w:rFonts w:hint="eastAsia" w:ascii="仿宋" w:hAnsi="仿宋" w:eastAsia="仿宋" w:cs="仿宋"/>
                              <w:sz w:val="24"/>
                              <w:szCs w:val="24"/>
                            </w:rPr>
                            <w:instrText xml:space="preserve"> PAGE </w:instrText>
                          </w:r>
                          <w:r>
                            <w:rPr>
                              <w:rFonts w:hint="eastAsia" w:ascii="仿宋" w:hAnsi="仿宋" w:eastAsia="仿宋" w:cs="仿宋"/>
                              <w:sz w:val="24"/>
                              <w:szCs w:val="24"/>
                            </w:rPr>
                            <w:fldChar w:fldCharType="separate"/>
                          </w:r>
                          <w:r>
                            <w:rPr>
                              <w:rStyle w:val="14"/>
                              <w:rFonts w:ascii="仿宋" w:hAnsi="仿宋" w:eastAsia="仿宋" w:cs="仿宋"/>
                              <w:sz w:val="24"/>
                              <w:szCs w:val="24"/>
                            </w:rPr>
                            <w:t>13</w:t>
                          </w:r>
                          <w:r>
                            <w:rPr>
                              <w:rFonts w:hint="eastAsia" w:ascii="仿宋" w:hAnsi="仿宋" w:eastAsia="仿宋" w:cs="仿宋"/>
                              <w:sz w:val="24"/>
                              <w:szCs w:val="24"/>
                            </w:rPr>
                            <w:fldChar w:fldCharType="end"/>
                          </w:r>
                          <w:r>
                            <w:rPr>
                              <w:rStyle w:val="14"/>
                              <w:rFonts w:hint="eastAsia" w:ascii="仿宋" w:hAnsi="仿宋" w:eastAsia="仿宋" w:cs="仿宋"/>
                              <w:sz w:val="24"/>
                              <w:szCs w:val="24"/>
                            </w:rPr>
                            <w:t>页 共</w:t>
                          </w:r>
                          <w:r>
                            <w:rPr>
                              <w:rFonts w:hint="eastAsia" w:ascii="仿宋" w:hAnsi="仿宋" w:eastAsia="仿宋" w:cs="仿宋"/>
                              <w:sz w:val="24"/>
                              <w:szCs w:val="24"/>
                            </w:rPr>
                            <w:fldChar w:fldCharType="begin"/>
                          </w:r>
                          <w:r>
                            <w:rPr>
                              <w:rStyle w:val="14"/>
                              <w:rFonts w:hint="eastAsia" w:ascii="仿宋" w:hAnsi="仿宋" w:eastAsia="仿宋" w:cs="仿宋"/>
                              <w:sz w:val="24"/>
                              <w:szCs w:val="24"/>
                            </w:rPr>
                            <w:instrText xml:space="preserve"> NUMPAGES </w:instrText>
                          </w:r>
                          <w:r>
                            <w:rPr>
                              <w:rFonts w:hint="eastAsia" w:ascii="仿宋" w:hAnsi="仿宋" w:eastAsia="仿宋" w:cs="仿宋"/>
                              <w:sz w:val="24"/>
                              <w:szCs w:val="24"/>
                            </w:rPr>
                            <w:fldChar w:fldCharType="separate"/>
                          </w:r>
                          <w:r>
                            <w:rPr>
                              <w:rStyle w:val="14"/>
                              <w:rFonts w:ascii="仿宋" w:hAnsi="仿宋" w:eastAsia="仿宋" w:cs="仿宋"/>
                              <w:sz w:val="24"/>
                              <w:szCs w:val="24"/>
                            </w:rPr>
                            <w:t>26</w:t>
                          </w:r>
                          <w:r>
                            <w:rPr>
                              <w:rFonts w:hint="eastAsia" w:ascii="仿宋" w:hAnsi="仿宋" w:eastAsia="仿宋" w:cs="仿宋"/>
                              <w:sz w:val="24"/>
                              <w:szCs w:val="24"/>
                            </w:rPr>
                            <w:fldChar w:fldCharType="end"/>
                          </w:r>
                          <w:r>
                            <w:rPr>
                              <w:rStyle w:val="14"/>
                              <w:rFonts w:hint="eastAsia" w:ascii="仿宋" w:hAnsi="仿宋" w:eastAsia="仿宋" w:cs="仿宋"/>
                              <w:sz w:val="24"/>
                              <w:szCs w:val="24"/>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536C1EF">
                    <w:pPr>
                      <w:pStyle w:val="8"/>
                      <w:jc w:val="right"/>
                    </w:pPr>
                    <w:r>
                      <w:rPr>
                        <w:rFonts w:hint="eastAsia" w:ascii="仿宋" w:hAnsi="仿宋" w:eastAsia="仿宋" w:cs="仿宋"/>
                        <w:sz w:val="24"/>
                        <w:szCs w:val="24"/>
                      </w:rPr>
                      <w:t>第</w:t>
                    </w:r>
                    <w:r>
                      <w:rPr>
                        <w:rFonts w:hint="eastAsia" w:ascii="仿宋" w:hAnsi="仿宋" w:eastAsia="仿宋" w:cs="仿宋"/>
                        <w:sz w:val="24"/>
                        <w:szCs w:val="24"/>
                      </w:rPr>
                      <w:fldChar w:fldCharType="begin"/>
                    </w:r>
                    <w:r>
                      <w:rPr>
                        <w:rStyle w:val="14"/>
                        <w:rFonts w:hint="eastAsia" w:ascii="仿宋" w:hAnsi="仿宋" w:eastAsia="仿宋" w:cs="仿宋"/>
                        <w:sz w:val="24"/>
                        <w:szCs w:val="24"/>
                      </w:rPr>
                      <w:instrText xml:space="preserve"> PAGE </w:instrText>
                    </w:r>
                    <w:r>
                      <w:rPr>
                        <w:rFonts w:hint="eastAsia" w:ascii="仿宋" w:hAnsi="仿宋" w:eastAsia="仿宋" w:cs="仿宋"/>
                        <w:sz w:val="24"/>
                        <w:szCs w:val="24"/>
                      </w:rPr>
                      <w:fldChar w:fldCharType="separate"/>
                    </w:r>
                    <w:r>
                      <w:rPr>
                        <w:rStyle w:val="14"/>
                        <w:rFonts w:ascii="仿宋" w:hAnsi="仿宋" w:eastAsia="仿宋" w:cs="仿宋"/>
                        <w:sz w:val="24"/>
                        <w:szCs w:val="24"/>
                      </w:rPr>
                      <w:t>13</w:t>
                    </w:r>
                    <w:r>
                      <w:rPr>
                        <w:rFonts w:hint="eastAsia" w:ascii="仿宋" w:hAnsi="仿宋" w:eastAsia="仿宋" w:cs="仿宋"/>
                        <w:sz w:val="24"/>
                        <w:szCs w:val="24"/>
                      </w:rPr>
                      <w:fldChar w:fldCharType="end"/>
                    </w:r>
                    <w:r>
                      <w:rPr>
                        <w:rStyle w:val="14"/>
                        <w:rFonts w:hint="eastAsia" w:ascii="仿宋" w:hAnsi="仿宋" w:eastAsia="仿宋" w:cs="仿宋"/>
                        <w:sz w:val="24"/>
                        <w:szCs w:val="24"/>
                      </w:rPr>
                      <w:t>页 共</w:t>
                    </w:r>
                    <w:r>
                      <w:rPr>
                        <w:rFonts w:hint="eastAsia" w:ascii="仿宋" w:hAnsi="仿宋" w:eastAsia="仿宋" w:cs="仿宋"/>
                        <w:sz w:val="24"/>
                        <w:szCs w:val="24"/>
                      </w:rPr>
                      <w:fldChar w:fldCharType="begin"/>
                    </w:r>
                    <w:r>
                      <w:rPr>
                        <w:rStyle w:val="14"/>
                        <w:rFonts w:hint="eastAsia" w:ascii="仿宋" w:hAnsi="仿宋" w:eastAsia="仿宋" w:cs="仿宋"/>
                        <w:sz w:val="24"/>
                        <w:szCs w:val="24"/>
                      </w:rPr>
                      <w:instrText xml:space="preserve"> NUMPAGES </w:instrText>
                    </w:r>
                    <w:r>
                      <w:rPr>
                        <w:rFonts w:hint="eastAsia" w:ascii="仿宋" w:hAnsi="仿宋" w:eastAsia="仿宋" w:cs="仿宋"/>
                        <w:sz w:val="24"/>
                        <w:szCs w:val="24"/>
                      </w:rPr>
                      <w:fldChar w:fldCharType="separate"/>
                    </w:r>
                    <w:r>
                      <w:rPr>
                        <w:rStyle w:val="14"/>
                        <w:rFonts w:ascii="仿宋" w:hAnsi="仿宋" w:eastAsia="仿宋" w:cs="仿宋"/>
                        <w:sz w:val="24"/>
                        <w:szCs w:val="24"/>
                      </w:rPr>
                      <w:t>26</w:t>
                    </w:r>
                    <w:r>
                      <w:rPr>
                        <w:rFonts w:hint="eastAsia" w:ascii="仿宋" w:hAnsi="仿宋" w:eastAsia="仿宋" w:cs="仿宋"/>
                        <w:sz w:val="24"/>
                        <w:szCs w:val="24"/>
                      </w:rPr>
                      <w:fldChar w:fldCharType="end"/>
                    </w:r>
                    <w:r>
                      <w:rPr>
                        <w:rStyle w:val="14"/>
                        <w:rFonts w:hint="eastAsia" w:ascii="仿宋" w:hAnsi="仿宋" w:eastAsia="仿宋" w:cs="仿宋"/>
                        <w:sz w:val="24"/>
                        <w:szCs w:val="24"/>
                      </w:rP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8B6"/>
    <w:rsid w:val="003078B6"/>
    <w:rsid w:val="003A1E7E"/>
    <w:rsid w:val="003A6B0E"/>
    <w:rsid w:val="007008CE"/>
    <w:rsid w:val="007B3B68"/>
    <w:rsid w:val="00973BB8"/>
    <w:rsid w:val="009A5313"/>
    <w:rsid w:val="009D4E6F"/>
    <w:rsid w:val="00BB07A0"/>
    <w:rsid w:val="00C16A45"/>
    <w:rsid w:val="00F2218E"/>
    <w:rsid w:val="0148366C"/>
    <w:rsid w:val="026C270F"/>
    <w:rsid w:val="02A02F5A"/>
    <w:rsid w:val="03481DAA"/>
    <w:rsid w:val="04167961"/>
    <w:rsid w:val="06EA1B31"/>
    <w:rsid w:val="0701021B"/>
    <w:rsid w:val="07C80EFB"/>
    <w:rsid w:val="07F320DB"/>
    <w:rsid w:val="083D63B1"/>
    <w:rsid w:val="087A6FE7"/>
    <w:rsid w:val="08980941"/>
    <w:rsid w:val="0AC05408"/>
    <w:rsid w:val="0AC92FC0"/>
    <w:rsid w:val="0B154457"/>
    <w:rsid w:val="0B203224"/>
    <w:rsid w:val="0BE43D0E"/>
    <w:rsid w:val="0D6B65B1"/>
    <w:rsid w:val="0E0B1B42"/>
    <w:rsid w:val="0EBD108E"/>
    <w:rsid w:val="0F210E5E"/>
    <w:rsid w:val="0FE64614"/>
    <w:rsid w:val="102313C5"/>
    <w:rsid w:val="10AC13BA"/>
    <w:rsid w:val="119B31DD"/>
    <w:rsid w:val="124E2035"/>
    <w:rsid w:val="132D60B6"/>
    <w:rsid w:val="137875AF"/>
    <w:rsid w:val="13FB7F63"/>
    <w:rsid w:val="14F71AE0"/>
    <w:rsid w:val="164B1138"/>
    <w:rsid w:val="17562080"/>
    <w:rsid w:val="17AC6144"/>
    <w:rsid w:val="1815516B"/>
    <w:rsid w:val="183B4410"/>
    <w:rsid w:val="18C71AEC"/>
    <w:rsid w:val="1A2766DD"/>
    <w:rsid w:val="1B2F50C2"/>
    <w:rsid w:val="1C11151B"/>
    <w:rsid w:val="1CA23671"/>
    <w:rsid w:val="1CCC58A9"/>
    <w:rsid w:val="1F792DAF"/>
    <w:rsid w:val="201C7BDE"/>
    <w:rsid w:val="203D202F"/>
    <w:rsid w:val="24CC292E"/>
    <w:rsid w:val="25102CE2"/>
    <w:rsid w:val="260158AC"/>
    <w:rsid w:val="26382361"/>
    <w:rsid w:val="27437310"/>
    <w:rsid w:val="27623BE1"/>
    <w:rsid w:val="27B76AA8"/>
    <w:rsid w:val="297B5976"/>
    <w:rsid w:val="29DB5919"/>
    <w:rsid w:val="2B6A5CA2"/>
    <w:rsid w:val="2B714818"/>
    <w:rsid w:val="2C5D75B5"/>
    <w:rsid w:val="2CF712DC"/>
    <w:rsid w:val="2D481F91"/>
    <w:rsid w:val="2D6C4094"/>
    <w:rsid w:val="2DEA7BCE"/>
    <w:rsid w:val="2E9A0268"/>
    <w:rsid w:val="2FBA49B0"/>
    <w:rsid w:val="30B42C39"/>
    <w:rsid w:val="324B35A0"/>
    <w:rsid w:val="326F5200"/>
    <w:rsid w:val="32F57BCF"/>
    <w:rsid w:val="346C2F66"/>
    <w:rsid w:val="37103BA1"/>
    <w:rsid w:val="37CF21EA"/>
    <w:rsid w:val="38E759C5"/>
    <w:rsid w:val="39814276"/>
    <w:rsid w:val="3A1F234D"/>
    <w:rsid w:val="3A6F6E31"/>
    <w:rsid w:val="3A8E7842"/>
    <w:rsid w:val="3AB962FE"/>
    <w:rsid w:val="3ACD3AB2"/>
    <w:rsid w:val="3B083788"/>
    <w:rsid w:val="3BDC2DBD"/>
    <w:rsid w:val="3C437F42"/>
    <w:rsid w:val="3DBE2912"/>
    <w:rsid w:val="3DCC5BBC"/>
    <w:rsid w:val="3E4E6D5D"/>
    <w:rsid w:val="3E935F53"/>
    <w:rsid w:val="3F6727CC"/>
    <w:rsid w:val="3FDD2A8F"/>
    <w:rsid w:val="41AA3DA6"/>
    <w:rsid w:val="423D5A66"/>
    <w:rsid w:val="444166F6"/>
    <w:rsid w:val="446439FE"/>
    <w:rsid w:val="448925DA"/>
    <w:rsid w:val="44B76782"/>
    <w:rsid w:val="45853FCB"/>
    <w:rsid w:val="45B92566"/>
    <w:rsid w:val="46767799"/>
    <w:rsid w:val="467D3578"/>
    <w:rsid w:val="473C453F"/>
    <w:rsid w:val="476636CF"/>
    <w:rsid w:val="47AF4CEF"/>
    <w:rsid w:val="47F56DB1"/>
    <w:rsid w:val="48B542C0"/>
    <w:rsid w:val="4A0D2C9A"/>
    <w:rsid w:val="4A7D10F6"/>
    <w:rsid w:val="4B3045F7"/>
    <w:rsid w:val="4B6E0A3F"/>
    <w:rsid w:val="4BF929FE"/>
    <w:rsid w:val="4E260EEC"/>
    <w:rsid w:val="4E587CE0"/>
    <w:rsid w:val="4F7A02B0"/>
    <w:rsid w:val="4FB505EF"/>
    <w:rsid w:val="50A478C5"/>
    <w:rsid w:val="52E42A4A"/>
    <w:rsid w:val="53000B16"/>
    <w:rsid w:val="53034162"/>
    <w:rsid w:val="53BE1290"/>
    <w:rsid w:val="56FD61F0"/>
    <w:rsid w:val="570A1F63"/>
    <w:rsid w:val="577B4B3D"/>
    <w:rsid w:val="57877110"/>
    <w:rsid w:val="57A6604F"/>
    <w:rsid w:val="58472D43"/>
    <w:rsid w:val="59723DF0"/>
    <w:rsid w:val="59CA7D57"/>
    <w:rsid w:val="5A81253D"/>
    <w:rsid w:val="5AC93EE4"/>
    <w:rsid w:val="5B7324BE"/>
    <w:rsid w:val="5D617FF3"/>
    <w:rsid w:val="5DDE060C"/>
    <w:rsid w:val="5E68017D"/>
    <w:rsid w:val="5E745A3D"/>
    <w:rsid w:val="5F030150"/>
    <w:rsid w:val="5F8623A3"/>
    <w:rsid w:val="5F895808"/>
    <w:rsid w:val="617A7815"/>
    <w:rsid w:val="61DC274E"/>
    <w:rsid w:val="62C15D22"/>
    <w:rsid w:val="643F36AD"/>
    <w:rsid w:val="64A21A2D"/>
    <w:rsid w:val="64CA0F84"/>
    <w:rsid w:val="65A43583"/>
    <w:rsid w:val="665064DF"/>
    <w:rsid w:val="66DC2C35"/>
    <w:rsid w:val="678F5EF4"/>
    <w:rsid w:val="68703BF0"/>
    <w:rsid w:val="689618A9"/>
    <w:rsid w:val="690C3919"/>
    <w:rsid w:val="69482DD9"/>
    <w:rsid w:val="69551F9E"/>
    <w:rsid w:val="6A2151A2"/>
    <w:rsid w:val="6AEA7C8A"/>
    <w:rsid w:val="6BA20565"/>
    <w:rsid w:val="6BE363CC"/>
    <w:rsid w:val="6BF15048"/>
    <w:rsid w:val="6CDC7CEB"/>
    <w:rsid w:val="6D282CEC"/>
    <w:rsid w:val="6D542B84"/>
    <w:rsid w:val="6DCF6BFA"/>
    <w:rsid w:val="6E402699"/>
    <w:rsid w:val="6F8B086E"/>
    <w:rsid w:val="70476D35"/>
    <w:rsid w:val="71254FA5"/>
    <w:rsid w:val="71BB2D89"/>
    <w:rsid w:val="720D7FAC"/>
    <w:rsid w:val="72306282"/>
    <w:rsid w:val="72D60552"/>
    <w:rsid w:val="73AD5CF9"/>
    <w:rsid w:val="73C65AE6"/>
    <w:rsid w:val="74017063"/>
    <w:rsid w:val="74757D42"/>
    <w:rsid w:val="74FC0CE6"/>
    <w:rsid w:val="76C07AF1"/>
    <w:rsid w:val="77E15558"/>
    <w:rsid w:val="77E3139A"/>
    <w:rsid w:val="7A432F13"/>
    <w:rsid w:val="7A631460"/>
    <w:rsid w:val="7A83716C"/>
    <w:rsid w:val="7BA21E5E"/>
    <w:rsid w:val="7BE626DD"/>
    <w:rsid w:val="7C6B2C00"/>
    <w:rsid w:val="7D2A660C"/>
    <w:rsid w:val="7D8C2E23"/>
    <w:rsid w:val="7E301A00"/>
    <w:rsid w:val="7E355BA9"/>
    <w:rsid w:val="7F057967"/>
    <w:rsid w:val="7F9B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rFonts w:ascii="宋体" w:hAnsi="宋体" w:cs="宋体"/>
      <w:kern w:val="0"/>
      <w:sz w:val="24"/>
      <w:szCs w:val="20"/>
    </w:rPr>
  </w:style>
  <w:style w:type="paragraph" w:styleId="3">
    <w:name w:val="annotation text"/>
    <w:basedOn w:val="1"/>
    <w:qFormat/>
    <w:uiPriority w:val="0"/>
    <w:pPr>
      <w:jc w:val="left"/>
    </w:pPr>
  </w:style>
  <w:style w:type="paragraph" w:styleId="4">
    <w:name w:val="Body Text"/>
    <w:basedOn w:val="1"/>
    <w:next w:val="5"/>
    <w:unhideWhenUsed/>
    <w:qFormat/>
    <w:uiPriority w:val="0"/>
    <w:pPr>
      <w:spacing w:after="120"/>
    </w:pPr>
  </w:style>
  <w:style w:type="paragraph" w:styleId="5">
    <w:name w:val="toc 2"/>
    <w:basedOn w:val="1"/>
    <w:next w:val="1"/>
    <w:qFormat/>
    <w:uiPriority w:val="0"/>
    <w:pPr>
      <w:ind w:left="420" w:leftChars="200"/>
    </w:pPr>
  </w:style>
  <w:style w:type="paragraph" w:styleId="6">
    <w:name w:val="Body Text Indent"/>
    <w:basedOn w:val="1"/>
    <w:qFormat/>
    <w:uiPriority w:val="99"/>
    <w:pPr>
      <w:spacing w:after="120"/>
      <w:ind w:left="420" w:leftChars="200"/>
    </w:pPr>
  </w:style>
  <w:style w:type="paragraph" w:styleId="7">
    <w:name w:val="Plain Text"/>
    <w:basedOn w:val="1"/>
    <w:qFormat/>
    <w:uiPriority w:val="0"/>
    <w:rPr>
      <w:rFonts w:ascii="宋体" w:hAnsi="Courier New"/>
      <w:szCs w:val="21"/>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qFormat/>
    <w:uiPriority w:val="0"/>
    <w:pPr>
      <w:adjustRightInd w:val="0"/>
      <w:spacing w:line="312" w:lineRule="atLeast"/>
      <w:ind w:firstLine="420"/>
      <w:textAlignment w:val="baseline"/>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customStyle="1" w:styleId="15">
    <w:name w:val="页眉 字符"/>
    <w:basedOn w:val="13"/>
    <w:link w:val="9"/>
    <w:qFormat/>
    <w:uiPriority w:val="0"/>
    <w:rPr>
      <w:rFonts w:ascii="Calibri" w:hAnsi="Calibri" w:eastAsia="宋体" w:cs="Times New Roman"/>
      <w:kern w:val="2"/>
      <w:sz w:val="18"/>
      <w:szCs w:val="18"/>
    </w:rPr>
  </w:style>
  <w:style w:type="paragraph" w:styleId="16">
    <w:name w:val="List Paragraph"/>
    <w:basedOn w:val="1"/>
    <w:unhideWhenUsed/>
    <w:qFormat/>
    <w:uiPriority w:val="99"/>
    <w:pPr>
      <w:ind w:firstLine="420" w:firstLineChars="200"/>
    </w:pPr>
  </w:style>
  <w:style w:type="paragraph" w:customStyle="1" w:styleId="17">
    <w:name w:val="非政府正文"/>
    <w:qFormat/>
    <w:uiPriority w:val="0"/>
    <w:pPr>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table" w:customStyle="1" w:styleId="18">
    <w:name w:val="Table Grid_11"/>
    <w:basedOn w:val="11"/>
    <w:qFormat/>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Grid_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0">
    <w:name w:val="xl53"/>
    <w:basedOn w:val="1"/>
    <w:qFormat/>
    <w:uiPriority w:val="0"/>
    <w:pPr>
      <w:spacing w:before="100" w:beforeAutospacing="1" w:after="100" w:afterAutospacing="1"/>
      <w:jc w:val="left"/>
    </w:pPr>
    <w:rPr>
      <w:rFonts w:hint="eastAsia" w:ascii="黑体" w:hAnsi="宋体" w:eastAsia="黑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5081</Words>
  <Characters>5186</Characters>
  <Lines>53</Lines>
  <Paragraphs>14</Paragraphs>
  <TotalTime>16</TotalTime>
  <ScaleCrop>false</ScaleCrop>
  <LinksUpToDate>false</LinksUpToDate>
  <CharactersWithSpaces>5323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2021-05-14T07:24:00Z</dcterms:created>
  <dc:creator>lenovo</dc:creator>
  <cp:lastModifiedBy>WPS_1756952891</cp:lastModifiedBy>
  <dcterms:modified xsi:type="dcterms:W3CDTF">2026-06-01T03:20:21Z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6805267E619D4A1BACBE94789F92FE4A</vt:lpwstr>
  </property>
  <property fmtid="{D5CDD505-2E9C-101B-9397-08002B2CF9AE}" pid="4" name="KSOTemplateDocerSaveRecord">
    <vt:lpwstr>eyJoZGlkIjoiZWE3ZjBjMTQ1OTFhYWMyZWIwNzI2ZmRiYzg1YWM3MzkiLCJ1c2VySWQiOiIxNzM3NTg4NjA5In0=</vt:lpwstr>
  </property>
</Properties>
</file>