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AFFA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新能源车辆三电系统定点维修服务采购</w:t>
      </w:r>
    </w:p>
    <w:p w14:paraId="04FA147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highlight w:val="none"/>
          <w:lang w:val="en-US" w:eastAsia="zh-CN"/>
        </w:rPr>
      </w:pPr>
      <w:r>
        <w:rPr>
          <w:rFonts w:hint="eastAsia" w:ascii="方正小标宋简体" w:hAnsi="方正小标宋简体" w:eastAsia="方正小标宋简体" w:cs="方正小标宋简体"/>
          <w:sz w:val="44"/>
          <w:szCs w:val="44"/>
          <w:highlight w:val="none"/>
        </w:rPr>
        <w:t>公开遴选</w:t>
      </w:r>
      <w:r>
        <w:rPr>
          <w:rFonts w:hint="eastAsia" w:ascii="方正小标宋简体" w:hAnsi="方正小标宋简体" w:eastAsia="方正小标宋简体" w:cs="方正小标宋简体"/>
          <w:sz w:val="44"/>
          <w:szCs w:val="44"/>
          <w:highlight w:val="none"/>
          <w:lang w:val="en-US" w:eastAsia="zh-CN"/>
        </w:rPr>
        <w:t>方案</w:t>
      </w:r>
    </w:p>
    <w:p w14:paraId="56E57010">
      <w:pPr>
        <w:spacing w:line="560" w:lineRule="exact"/>
        <w:ind w:firstLine="640" w:firstLineChars="200"/>
        <w:rPr>
          <w:rFonts w:hint="eastAsia" w:ascii="黑体" w:hAnsi="黑体" w:eastAsia="黑体" w:cs="黑体"/>
          <w:b w:val="0"/>
          <w:bCs/>
          <w:color w:val="auto"/>
          <w:sz w:val="32"/>
          <w:szCs w:val="32"/>
          <w:lang w:val="en-US" w:eastAsia="zh-CN"/>
        </w:rPr>
      </w:pPr>
    </w:p>
    <w:p w14:paraId="5B5A7BE1">
      <w:pPr>
        <w:spacing w:line="560" w:lineRule="exact"/>
        <w:ind w:firstLine="640" w:firstLineChars="200"/>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lang w:val="en-US" w:eastAsia="zh-CN"/>
        </w:rPr>
        <w:t>一、</w:t>
      </w:r>
      <w:r>
        <w:rPr>
          <w:rFonts w:hint="eastAsia" w:ascii="黑体" w:hAnsi="黑体" w:eastAsia="黑体" w:cs="黑体"/>
          <w:b w:val="0"/>
          <w:bCs/>
          <w:color w:val="auto"/>
          <w:sz w:val="32"/>
          <w:szCs w:val="32"/>
        </w:rPr>
        <w:t>评标方法</w:t>
      </w:r>
    </w:p>
    <w:p w14:paraId="236429DC">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b w:val="0"/>
          <w:bCs/>
          <w:snapToGrid w:val="0"/>
          <w:color w:val="auto"/>
          <w:kern w:val="2"/>
          <w:sz w:val="32"/>
          <w:szCs w:val="32"/>
          <w:lang w:val="en-US" w:eastAsia="zh-CN"/>
        </w:rPr>
      </w:pPr>
      <w:r>
        <w:rPr>
          <w:rFonts w:hint="eastAsia" w:ascii="仿宋_GB2312" w:hAnsi="仿宋_GB2312" w:eastAsia="仿宋_GB2312" w:cs="仿宋_GB2312"/>
          <w:b w:val="0"/>
          <w:bCs/>
          <w:snapToGrid w:val="0"/>
          <w:color w:val="auto"/>
          <w:kern w:val="2"/>
          <w:sz w:val="32"/>
          <w:szCs w:val="32"/>
          <w:lang w:val="en-US" w:eastAsia="zh-CN"/>
        </w:rPr>
        <w:t>本次评标采用两阶段评标法（双信封模式）：第一阶段不开启价格标，初步评审后，对商务标、技术标进行综合评分，综合得分排名前3的进入下一阶段（若与前3名总分出现并列的情况，则一同进入第二阶段价格标开标）；</w:t>
      </w:r>
    </w:p>
    <w:p w14:paraId="3F5A1CFE">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b w:val="0"/>
          <w:bCs/>
          <w:snapToGrid w:val="0"/>
          <w:color w:val="auto"/>
          <w:kern w:val="2"/>
          <w:sz w:val="32"/>
          <w:szCs w:val="32"/>
          <w:lang w:val="en-US" w:eastAsia="zh-CN"/>
        </w:rPr>
      </w:pPr>
      <w:r>
        <w:rPr>
          <w:rFonts w:hint="eastAsia" w:ascii="仿宋_GB2312" w:hAnsi="仿宋_GB2312" w:eastAsia="仿宋_GB2312" w:cs="仿宋_GB2312"/>
          <w:b w:val="0"/>
          <w:bCs/>
          <w:snapToGrid w:val="0"/>
          <w:color w:val="auto"/>
          <w:kern w:val="2"/>
          <w:sz w:val="32"/>
          <w:szCs w:val="32"/>
          <w:lang w:val="en-US" w:eastAsia="zh-CN"/>
        </w:rPr>
        <w:t>第二阶段开启价格标，价格标低且第一阶段综合评分≥60分的为中标候选人，如果价格标低但综合得分不足60分，则选择报价次低且综合得分≥60分的投标人为中标候选人，以此类推。若价格标相同的情况，优先选择第一阶段综合得分高者，若综合得分也相同，则抽签确定。</w:t>
      </w:r>
    </w:p>
    <w:p w14:paraId="2A8DCC77">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b w:val="0"/>
          <w:bCs/>
          <w:snapToGrid w:val="0"/>
          <w:color w:val="auto"/>
          <w:kern w:val="2"/>
          <w:sz w:val="32"/>
          <w:szCs w:val="32"/>
          <w:lang w:val="en-US" w:eastAsia="zh-CN"/>
        </w:rPr>
      </w:pPr>
      <w:r>
        <w:rPr>
          <w:rFonts w:hint="eastAsia" w:ascii="仿宋_GB2312" w:hAnsi="仿宋_GB2312" w:eastAsia="仿宋_GB2312" w:cs="仿宋_GB2312"/>
          <w:b w:val="0"/>
          <w:bCs/>
          <w:snapToGrid w:val="0"/>
          <w:color w:val="auto"/>
          <w:kern w:val="2"/>
          <w:sz w:val="32"/>
          <w:szCs w:val="32"/>
          <w:lang w:val="en-US" w:eastAsia="zh-CN"/>
        </w:rPr>
        <w:t>本项目评分标准为：</w:t>
      </w:r>
    </w:p>
    <w:tbl>
      <w:tblPr>
        <w:tblStyle w:val="13"/>
        <w:tblpPr w:leftFromText="180" w:rightFromText="180" w:vertAnchor="text" w:horzAnchor="page" w:tblpX="1557" w:tblpY="143"/>
        <w:tblOverlap w:val="never"/>
        <w:tblW w:w="90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85"/>
        <w:gridCol w:w="4522"/>
      </w:tblGrid>
      <w:tr w14:paraId="30E68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4485" w:type="dxa"/>
            <w:noWrap w:val="0"/>
            <w:vAlign w:val="center"/>
          </w:tcPr>
          <w:p w14:paraId="60F95F95">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仿宋" w:hAnsi="仿宋" w:eastAsia="仿宋" w:cs="仿宋"/>
                <w:b/>
                <w:bCs w:val="0"/>
                <w:snapToGrid w:val="0"/>
                <w:color w:val="auto"/>
                <w:kern w:val="2"/>
                <w:sz w:val="24"/>
                <w:szCs w:val="24"/>
                <w:lang w:val="en-US" w:eastAsia="zh-CN"/>
              </w:rPr>
            </w:pPr>
            <w:r>
              <w:rPr>
                <w:rFonts w:hint="eastAsia" w:ascii="仿宋" w:hAnsi="仿宋" w:eastAsia="仿宋" w:cs="仿宋"/>
                <w:b/>
                <w:bCs w:val="0"/>
                <w:snapToGrid w:val="0"/>
                <w:color w:val="auto"/>
                <w:kern w:val="2"/>
                <w:sz w:val="24"/>
                <w:szCs w:val="24"/>
                <w:lang w:val="en-US" w:eastAsia="zh-CN"/>
              </w:rPr>
              <w:t>评分因素</w:t>
            </w:r>
          </w:p>
        </w:tc>
        <w:tc>
          <w:tcPr>
            <w:tcW w:w="4522" w:type="dxa"/>
            <w:noWrap w:val="0"/>
            <w:vAlign w:val="center"/>
          </w:tcPr>
          <w:p w14:paraId="609BE03F">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仿宋" w:hAnsi="仿宋" w:eastAsia="仿宋" w:cs="仿宋"/>
                <w:b/>
                <w:bCs w:val="0"/>
                <w:snapToGrid w:val="0"/>
                <w:color w:val="auto"/>
                <w:kern w:val="2"/>
                <w:sz w:val="24"/>
                <w:szCs w:val="24"/>
                <w:lang w:val="en-US" w:eastAsia="zh-CN"/>
              </w:rPr>
            </w:pPr>
            <w:r>
              <w:rPr>
                <w:rFonts w:hint="eastAsia" w:ascii="仿宋" w:hAnsi="仿宋" w:eastAsia="仿宋" w:cs="仿宋"/>
                <w:b/>
                <w:bCs w:val="0"/>
                <w:snapToGrid w:val="0"/>
                <w:color w:val="auto"/>
                <w:kern w:val="2"/>
                <w:sz w:val="24"/>
                <w:szCs w:val="24"/>
                <w:lang w:val="en-US" w:eastAsia="zh-CN"/>
              </w:rPr>
              <w:t>分值分配</w:t>
            </w:r>
          </w:p>
        </w:tc>
      </w:tr>
      <w:tr w14:paraId="6EEE7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485" w:type="dxa"/>
            <w:noWrap w:val="0"/>
            <w:vAlign w:val="center"/>
          </w:tcPr>
          <w:p w14:paraId="4980FB6D">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仿宋" w:hAnsi="仿宋" w:eastAsia="仿宋" w:cs="仿宋"/>
                <w:b w:val="0"/>
                <w:bCs/>
                <w:snapToGrid w:val="0"/>
                <w:color w:val="auto"/>
                <w:kern w:val="2"/>
                <w:sz w:val="24"/>
                <w:szCs w:val="24"/>
                <w:lang w:val="en-US" w:eastAsia="zh-CN"/>
              </w:rPr>
            </w:pPr>
            <w:r>
              <w:rPr>
                <w:rFonts w:hint="eastAsia" w:ascii="仿宋" w:hAnsi="仿宋" w:eastAsia="仿宋" w:cs="仿宋"/>
                <w:b w:val="0"/>
                <w:bCs/>
                <w:snapToGrid w:val="0"/>
                <w:color w:val="auto"/>
                <w:kern w:val="2"/>
                <w:sz w:val="24"/>
                <w:szCs w:val="24"/>
                <w:lang w:val="en-US" w:eastAsia="zh-CN"/>
              </w:rPr>
              <w:t>商务部分</w:t>
            </w:r>
          </w:p>
        </w:tc>
        <w:tc>
          <w:tcPr>
            <w:tcW w:w="4522" w:type="dxa"/>
            <w:noWrap w:val="0"/>
            <w:vAlign w:val="center"/>
          </w:tcPr>
          <w:p w14:paraId="06010175">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仿宋" w:hAnsi="仿宋" w:eastAsia="仿宋" w:cs="仿宋"/>
                <w:b w:val="0"/>
                <w:bCs/>
                <w:snapToGrid w:val="0"/>
                <w:color w:val="auto"/>
                <w:kern w:val="2"/>
                <w:sz w:val="24"/>
                <w:szCs w:val="24"/>
                <w:highlight w:val="none"/>
                <w:lang w:val="en-US" w:eastAsia="zh-CN"/>
              </w:rPr>
            </w:pPr>
            <w:r>
              <w:rPr>
                <w:rFonts w:hint="eastAsia" w:ascii="仿宋" w:hAnsi="仿宋" w:eastAsia="仿宋" w:cs="仿宋"/>
                <w:b w:val="0"/>
                <w:bCs/>
                <w:snapToGrid w:val="0"/>
                <w:color w:val="auto"/>
                <w:kern w:val="2"/>
                <w:sz w:val="24"/>
                <w:szCs w:val="24"/>
                <w:highlight w:val="none"/>
                <w:lang w:val="en-US" w:eastAsia="zh-CN"/>
              </w:rPr>
              <w:t>55分</w:t>
            </w:r>
          </w:p>
        </w:tc>
      </w:tr>
      <w:tr w14:paraId="1F546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485" w:type="dxa"/>
            <w:noWrap w:val="0"/>
            <w:vAlign w:val="center"/>
          </w:tcPr>
          <w:p w14:paraId="1104D5E9">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仿宋" w:hAnsi="仿宋" w:eastAsia="仿宋" w:cs="仿宋"/>
                <w:b w:val="0"/>
                <w:bCs/>
                <w:snapToGrid w:val="0"/>
                <w:color w:val="auto"/>
                <w:kern w:val="2"/>
                <w:sz w:val="24"/>
                <w:szCs w:val="24"/>
                <w:lang w:val="en-US" w:eastAsia="zh-CN"/>
              </w:rPr>
            </w:pPr>
            <w:r>
              <w:rPr>
                <w:rFonts w:hint="eastAsia" w:ascii="仿宋" w:hAnsi="仿宋" w:eastAsia="仿宋" w:cs="仿宋"/>
                <w:b w:val="0"/>
                <w:bCs/>
                <w:snapToGrid w:val="0"/>
                <w:color w:val="auto"/>
                <w:kern w:val="2"/>
                <w:sz w:val="24"/>
                <w:szCs w:val="24"/>
                <w:lang w:val="en-US" w:eastAsia="zh-CN"/>
              </w:rPr>
              <w:t>技术部分</w:t>
            </w:r>
          </w:p>
        </w:tc>
        <w:tc>
          <w:tcPr>
            <w:tcW w:w="4522" w:type="dxa"/>
            <w:noWrap w:val="0"/>
            <w:vAlign w:val="center"/>
          </w:tcPr>
          <w:p w14:paraId="55C758B5">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仿宋" w:hAnsi="仿宋" w:eastAsia="仿宋" w:cs="仿宋"/>
                <w:b w:val="0"/>
                <w:bCs/>
                <w:snapToGrid w:val="0"/>
                <w:color w:val="auto"/>
                <w:kern w:val="2"/>
                <w:sz w:val="24"/>
                <w:szCs w:val="24"/>
                <w:highlight w:val="none"/>
                <w:lang w:val="en-US" w:eastAsia="zh-CN"/>
              </w:rPr>
            </w:pPr>
            <w:r>
              <w:rPr>
                <w:rFonts w:hint="eastAsia" w:ascii="仿宋" w:hAnsi="仿宋" w:eastAsia="仿宋" w:cs="仿宋"/>
                <w:b w:val="0"/>
                <w:bCs/>
                <w:snapToGrid w:val="0"/>
                <w:color w:val="auto"/>
                <w:kern w:val="2"/>
                <w:sz w:val="24"/>
                <w:szCs w:val="24"/>
                <w:highlight w:val="none"/>
                <w:lang w:val="en-US" w:eastAsia="zh-CN"/>
              </w:rPr>
              <w:t>45分</w:t>
            </w:r>
          </w:p>
        </w:tc>
      </w:tr>
      <w:tr w14:paraId="636D6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485" w:type="dxa"/>
            <w:noWrap w:val="0"/>
            <w:vAlign w:val="center"/>
          </w:tcPr>
          <w:p w14:paraId="3EF960C8">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仿宋" w:hAnsi="仿宋" w:eastAsia="仿宋" w:cs="仿宋"/>
                <w:b w:val="0"/>
                <w:bCs/>
                <w:snapToGrid w:val="0"/>
                <w:color w:val="auto"/>
                <w:kern w:val="2"/>
                <w:sz w:val="24"/>
                <w:szCs w:val="24"/>
                <w:lang w:val="en-US" w:eastAsia="zh-CN"/>
              </w:rPr>
            </w:pPr>
            <w:r>
              <w:rPr>
                <w:rFonts w:hint="eastAsia" w:ascii="仿宋" w:hAnsi="仿宋" w:eastAsia="仿宋" w:cs="仿宋"/>
                <w:b w:val="0"/>
                <w:bCs/>
                <w:snapToGrid w:val="0"/>
                <w:color w:val="auto"/>
                <w:kern w:val="2"/>
                <w:sz w:val="24"/>
                <w:szCs w:val="24"/>
                <w:lang w:val="en-US" w:eastAsia="zh-CN"/>
              </w:rPr>
              <w:t>投标报价</w:t>
            </w:r>
          </w:p>
        </w:tc>
        <w:tc>
          <w:tcPr>
            <w:tcW w:w="4522" w:type="dxa"/>
            <w:noWrap w:val="0"/>
            <w:vAlign w:val="center"/>
          </w:tcPr>
          <w:p w14:paraId="51E86139">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仿宋" w:hAnsi="仿宋" w:eastAsia="仿宋" w:cs="仿宋"/>
                <w:b w:val="0"/>
                <w:bCs/>
                <w:snapToGrid w:val="0"/>
                <w:color w:val="auto"/>
                <w:kern w:val="2"/>
                <w:sz w:val="24"/>
                <w:szCs w:val="24"/>
                <w:highlight w:val="none"/>
                <w:lang w:val="en-US" w:eastAsia="zh-CN"/>
              </w:rPr>
            </w:pPr>
            <w:r>
              <w:rPr>
                <w:rFonts w:hint="eastAsia" w:ascii="仿宋" w:hAnsi="仿宋" w:eastAsia="仿宋" w:cs="仿宋"/>
                <w:b w:val="0"/>
                <w:bCs/>
                <w:snapToGrid w:val="0"/>
                <w:color w:val="auto"/>
                <w:kern w:val="2"/>
                <w:sz w:val="24"/>
                <w:szCs w:val="24"/>
                <w:highlight w:val="none"/>
                <w:lang w:val="en-US" w:eastAsia="zh-CN"/>
              </w:rPr>
              <w:t>/</w:t>
            </w:r>
          </w:p>
        </w:tc>
      </w:tr>
      <w:tr w14:paraId="13A7C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485" w:type="dxa"/>
            <w:noWrap w:val="0"/>
            <w:vAlign w:val="center"/>
          </w:tcPr>
          <w:p w14:paraId="403EB38F">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仿宋" w:hAnsi="仿宋" w:eastAsia="仿宋" w:cs="仿宋"/>
                <w:b w:val="0"/>
                <w:bCs/>
                <w:snapToGrid w:val="0"/>
                <w:color w:val="auto"/>
                <w:kern w:val="2"/>
                <w:sz w:val="24"/>
                <w:szCs w:val="24"/>
                <w:highlight w:val="none"/>
                <w:lang w:val="en-US" w:eastAsia="zh-CN"/>
              </w:rPr>
            </w:pPr>
            <w:r>
              <w:rPr>
                <w:rFonts w:hint="eastAsia" w:ascii="仿宋" w:hAnsi="仿宋" w:eastAsia="仿宋" w:cs="仿宋"/>
                <w:b w:val="0"/>
                <w:bCs/>
                <w:snapToGrid w:val="0"/>
                <w:color w:val="auto"/>
                <w:kern w:val="2"/>
                <w:sz w:val="24"/>
                <w:szCs w:val="24"/>
                <w:highlight w:val="none"/>
                <w:lang w:val="en-US" w:eastAsia="zh-CN"/>
              </w:rPr>
              <w:t>合计</w:t>
            </w:r>
          </w:p>
        </w:tc>
        <w:tc>
          <w:tcPr>
            <w:tcW w:w="4522" w:type="dxa"/>
            <w:noWrap w:val="0"/>
            <w:vAlign w:val="center"/>
          </w:tcPr>
          <w:p w14:paraId="02A6405F">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仿宋" w:hAnsi="仿宋" w:eastAsia="仿宋" w:cs="仿宋"/>
                <w:b w:val="0"/>
                <w:bCs/>
                <w:snapToGrid w:val="0"/>
                <w:color w:val="auto"/>
                <w:kern w:val="2"/>
                <w:sz w:val="24"/>
                <w:szCs w:val="24"/>
                <w:highlight w:val="none"/>
                <w:lang w:val="en-US" w:eastAsia="zh-CN"/>
              </w:rPr>
            </w:pPr>
            <w:r>
              <w:rPr>
                <w:rFonts w:hint="eastAsia" w:ascii="仿宋" w:hAnsi="仿宋" w:eastAsia="仿宋" w:cs="仿宋"/>
                <w:b w:val="0"/>
                <w:bCs/>
                <w:snapToGrid w:val="0"/>
                <w:color w:val="auto"/>
                <w:kern w:val="2"/>
                <w:sz w:val="24"/>
                <w:szCs w:val="24"/>
                <w:highlight w:val="none"/>
                <w:lang w:val="en-US" w:eastAsia="zh-CN"/>
              </w:rPr>
              <w:t>100分</w:t>
            </w:r>
          </w:p>
        </w:tc>
      </w:tr>
    </w:tbl>
    <w:p w14:paraId="1C16B24D">
      <w:pPr>
        <w:keepNext w:val="0"/>
        <w:keepLines w:val="0"/>
        <w:pageBreakBefore w:val="0"/>
        <w:widowControl w:val="0"/>
        <w:kinsoku/>
        <w:wordWrap/>
        <w:overflowPunct/>
        <w:topLinePunct w:val="0"/>
        <w:autoSpaceDE/>
        <w:autoSpaceDN/>
        <w:bidi w:val="0"/>
        <w:adjustRightInd/>
        <w:snapToGrid/>
        <w:spacing w:line="540" w:lineRule="exact"/>
        <w:ind w:firstLine="0" w:firstLineChars="0"/>
        <w:jc w:val="left"/>
        <w:textAlignment w:val="auto"/>
        <w:rPr>
          <w:rFonts w:hint="default" w:ascii="仿宋_GB2312" w:hAnsi="仿宋_GB2312" w:eastAsia="仿宋_GB2312" w:cs="仿宋_GB2312"/>
          <w:b w:val="0"/>
          <w:bCs/>
          <w:snapToGrid w:val="0"/>
          <w:color w:val="auto"/>
          <w:kern w:val="2"/>
          <w:sz w:val="32"/>
          <w:szCs w:val="32"/>
          <w:lang w:val="en-US" w:eastAsia="zh-CN"/>
        </w:rPr>
      </w:pPr>
      <w:r>
        <w:rPr>
          <w:rFonts w:hint="eastAsia" w:ascii="仿宋_GB2312" w:hAnsi="仿宋_GB2312" w:eastAsia="仿宋_GB2312" w:cs="仿宋_GB2312"/>
          <w:b w:val="0"/>
          <w:bCs/>
          <w:snapToGrid w:val="0"/>
          <w:color w:val="auto"/>
          <w:kern w:val="2"/>
          <w:sz w:val="32"/>
          <w:szCs w:val="32"/>
          <w:lang w:val="en-US" w:eastAsia="zh-CN"/>
        </w:rPr>
        <w:t>投标人的报价方法：</w:t>
      </w:r>
    </w:p>
    <w:p w14:paraId="34A8AAF8">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b w:val="0"/>
          <w:bCs/>
          <w:snapToGrid w:val="0"/>
          <w:color w:val="auto"/>
          <w:kern w:val="2"/>
          <w:sz w:val="32"/>
          <w:szCs w:val="32"/>
          <w:lang w:val="en-US" w:eastAsia="zh-CN"/>
        </w:rPr>
      </w:pPr>
      <w:r>
        <w:rPr>
          <w:rFonts w:hint="eastAsia" w:ascii="仿宋_GB2312" w:hAnsi="仿宋_GB2312" w:eastAsia="仿宋_GB2312" w:cs="仿宋_GB2312"/>
          <w:b w:val="0"/>
          <w:bCs/>
          <w:snapToGrid w:val="0"/>
          <w:color w:val="auto"/>
          <w:kern w:val="2"/>
          <w:sz w:val="32"/>
          <w:szCs w:val="32"/>
          <w:lang w:val="en-US" w:eastAsia="zh-CN"/>
        </w:rPr>
        <w:t>投标人按折扣率进行报价，填报的“折扣率”须满足“0＜折扣率≤1”（最多保留小数点后两位），未按此要求填写将作投标无效处理；（比如投标人报9折，则投标报价一览表中的“</w:t>
      </w:r>
      <w:r>
        <w:rPr>
          <w:rFonts w:hint="eastAsia" w:ascii="仿宋_GB2312" w:hAnsi="仿宋_GB2312" w:eastAsia="仿宋_GB2312" w:cs="仿宋_GB2312"/>
          <w:b w:val="0"/>
          <w:bCs/>
          <w:snapToGrid w:val="0"/>
          <w:color w:val="auto"/>
          <w:kern w:val="2"/>
          <w:sz w:val="32"/>
          <w:szCs w:val="32"/>
          <w:highlight w:val="none"/>
          <w:lang w:val="en-US" w:eastAsia="zh-CN"/>
        </w:rPr>
        <w:t>投标折扣率”一栏</w:t>
      </w:r>
      <w:r>
        <w:rPr>
          <w:rFonts w:hint="eastAsia" w:ascii="仿宋_GB2312" w:hAnsi="仿宋_GB2312" w:eastAsia="仿宋_GB2312" w:cs="仿宋_GB2312"/>
          <w:b w:val="0"/>
          <w:bCs/>
          <w:snapToGrid w:val="0"/>
          <w:color w:val="auto"/>
          <w:kern w:val="2"/>
          <w:sz w:val="32"/>
          <w:szCs w:val="32"/>
          <w:lang w:val="en-US" w:eastAsia="zh-CN"/>
        </w:rPr>
        <w:t>填写0.9）。</w:t>
      </w:r>
    </w:p>
    <w:p w14:paraId="724BB0EF">
      <w:pPr>
        <w:pStyle w:val="16"/>
        <w:rPr>
          <w:rFonts w:hint="eastAsia"/>
          <w:lang w:val="en-US" w:eastAsia="zh-CN"/>
        </w:rPr>
        <w:sectPr>
          <w:pgSz w:w="11906" w:h="16838"/>
          <w:pgMar w:top="2098" w:right="1474" w:bottom="1984" w:left="1587" w:header="851" w:footer="992" w:gutter="0"/>
          <w:pgBorders>
            <w:top w:val="none" w:sz="0" w:space="0"/>
            <w:left w:val="none" w:sz="0" w:space="0"/>
            <w:bottom w:val="none" w:sz="0" w:space="0"/>
            <w:right w:val="none" w:sz="0" w:space="0"/>
          </w:pgBorders>
          <w:cols w:space="425" w:num="1"/>
          <w:docGrid w:type="lines" w:linePitch="312" w:charSpace="0"/>
        </w:sectPr>
      </w:pPr>
    </w:p>
    <w:p w14:paraId="7AA9203A">
      <w:pPr>
        <w:spacing w:line="560" w:lineRule="exact"/>
        <w:ind w:leftChars="0" w:firstLine="640" w:firstLineChars="200"/>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lang w:val="en-US" w:eastAsia="zh-CN"/>
        </w:rPr>
        <w:t>二、</w:t>
      </w:r>
      <w:r>
        <w:rPr>
          <w:rFonts w:hint="eastAsia" w:ascii="黑体" w:hAnsi="黑体" w:eastAsia="黑体" w:cs="黑体"/>
          <w:b w:val="0"/>
          <w:bCs/>
          <w:color w:val="auto"/>
          <w:sz w:val="32"/>
          <w:szCs w:val="32"/>
        </w:rPr>
        <w:t>评分因素</w:t>
      </w:r>
    </w:p>
    <w:tbl>
      <w:tblPr>
        <w:tblStyle w:val="13"/>
        <w:tblW w:w="5306"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20"/>
        <w:gridCol w:w="1188"/>
        <w:gridCol w:w="837"/>
        <w:gridCol w:w="6871"/>
      </w:tblGrid>
      <w:tr w14:paraId="73C7CC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blHeader/>
          <w:jc w:val="center"/>
        </w:trPr>
        <w:tc>
          <w:tcPr>
            <w:tcW w:w="1908" w:type="dxa"/>
            <w:gridSpan w:val="2"/>
            <w:noWrap w:val="0"/>
            <w:vAlign w:val="center"/>
          </w:tcPr>
          <w:p w14:paraId="08F44055">
            <w:pPr>
              <w:adjustRightInd w:val="0"/>
              <w:snapToGrid w:val="0"/>
              <w:spacing w:line="320" w:lineRule="exac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评分内容</w:t>
            </w:r>
          </w:p>
        </w:tc>
        <w:tc>
          <w:tcPr>
            <w:tcW w:w="837" w:type="dxa"/>
            <w:noWrap w:val="0"/>
            <w:vAlign w:val="center"/>
          </w:tcPr>
          <w:p w14:paraId="3354911E">
            <w:pPr>
              <w:adjustRightInd w:val="0"/>
              <w:snapToGrid w:val="0"/>
              <w:spacing w:line="320" w:lineRule="exac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分值</w:t>
            </w:r>
          </w:p>
        </w:tc>
        <w:tc>
          <w:tcPr>
            <w:tcW w:w="6871" w:type="dxa"/>
            <w:noWrap w:val="0"/>
            <w:vAlign w:val="center"/>
          </w:tcPr>
          <w:p w14:paraId="233E96B4">
            <w:pPr>
              <w:adjustRightInd w:val="0"/>
              <w:snapToGrid w:val="0"/>
              <w:spacing w:line="320" w:lineRule="exac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评分标准</w:t>
            </w:r>
          </w:p>
        </w:tc>
      </w:tr>
      <w:tr w14:paraId="44B40A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258" w:hRule="atLeast"/>
          <w:jc w:val="center"/>
        </w:trPr>
        <w:tc>
          <w:tcPr>
            <w:tcW w:w="720" w:type="dxa"/>
            <w:vMerge w:val="restart"/>
            <w:noWrap w:val="0"/>
            <w:vAlign w:val="center"/>
          </w:tcPr>
          <w:p w14:paraId="1CE3B37F">
            <w:pPr>
              <w:adjustRightInd w:val="0"/>
              <w:snapToGrid w:val="0"/>
              <w:spacing w:line="32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商务</w:t>
            </w:r>
            <w:r>
              <w:rPr>
                <w:rFonts w:hint="eastAsia" w:ascii="仿宋" w:hAnsi="仿宋" w:eastAsia="仿宋" w:cs="仿宋"/>
                <w:color w:val="auto"/>
                <w:sz w:val="24"/>
                <w:szCs w:val="24"/>
                <w:highlight w:val="none"/>
                <w:lang w:val="en-US" w:eastAsia="zh-CN"/>
              </w:rPr>
              <w:t>部分</w:t>
            </w:r>
          </w:p>
          <w:p w14:paraId="44BEF30A">
            <w:pPr>
              <w:adjustRightInd w:val="0"/>
              <w:snapToGrid w:val="0"/>
              <w:spacing w:line="32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55</w:t>
            </w:r>
            <w:r>
              <w:rPr>
                <w:rFonts w:hint="eastAsia" w:ascii="仿宋" w:hAnsi="仿宋" w:eastAsia="仿宋" w:cs="仿宋"/>
                <w:color w:val="auto"/>
                <w:sz w:val="24"/>
                <w:szCs w:val="24"/>
                <w:highlight w:val="none"/>
              </w:rPr>
              <w:t>分</w:t>
            </w:r>
          </w:p>
        </w:tc>
        <w:tc>
          <w:tcPr>
            <w:tcW w:w="1188" w:type="dxa"/>
            <w:noWrap w:val="0"/>
            <w:vAlign w:val="center"/>
          </w:tcPr>
          <w:p w14:paraId="79977D80">
            <w:pPr>
              <w:adjustRightInd w:val="0"/>
              <w:snapToGrid w:val="0"/>
              <w:spacing w:line="32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投标人</w:t>
            </w:r>
            <w:r>
              <w:rPr>
                <w:rFonts w:hint="eastAsia" w:ascii="仿宋" w:hAnsi="仿宋" w:eastAsia="仿宋" w:cs="仿宋"/>
                <w:color w:val="auto"/>
                <w:sz w:val="24"/>
                <w:szCs w:val="24"/>
                <w:highlight w:val="none"/>
                <w:lang w:val="en-US" w:eastAsia="zh-CN"/>
              </w:rPr>
              <w:t>同类项目</w:t>
            </w:r>
            <w:r>
              <w:rPr>
                <w:rFonts w:hint="eastAsia" w:ascii="仿宋" w:hAnsi="仿宋" w:eastAsia="仿宋" w:cs="仿宋"/>
                <w:color w:val="auto"/>
                <w:sz w:val="24"/>
                <w:szCs w:val="24"/>
                <w:highlight w:val="none"/>
              </w:rPr>
              <w:t>业绩</w:t>
            </w:r>
          </w:p>
        </w:tc>
        <w:tc>
          <w:tcPr>
            <w:tcW w:w="837" w:type="dxa"/>
            <w:noWrap w:val="0"/>
            <w:vAlign w:val="center"/>
          </w:tcPr>
          <w:p w14:paraId="5897298C">
            <w:pPr>
              <w:spacing w:line="320" w:lineRule="exact"/>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12</w:t>
            </w:r>
          </w:p>
        </w:tc>
        <w:tc>
          <w:tcPr>
            <w:tcW w:w="6871" w:type="dxa"/>
            <w:noWrap w:val="0"/>
            <w:vAlign w:val="center"/>
          </w:tcPr>
          <w:p w14:paraId="20B1340A">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一、评分内容：</w:t>
            </w:r>
          </w:p>
          <w:p w14:paraId="23719051">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jc w:val="both"/>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投标人近三年内（自2023年5月1日至投标截止日，以合同签订时间为准）承担过含新能源车辆三电系统维修保养相关表述的项目，且服务期限不少于12个月，</w:t>
            </w:r>
            <w:r>
              <w:rPr>
                <w:rFonts w:hint="eastAsia" w:ascii="仿宋" w:hAnsi="仿宋" w:eastAsia="仿宋" w:cs="仿宋"/>
                <w:b w:val="0"/>
                <w:bCs w:val="0"/>
                <w:color w:val="auto"/>
                <w:sz w:val="24"/>
                <w:szCs w:val="24"/>
                <w:highlight w:val="none"/>
                <w:lang w:val="en-US" w:eastAsia="zh-CN"/>
              </w:rPr>
              <w:t>以客户为单位，每提供1个服务客户单位业绩案例得3分</w:t>
            </w:r>
            <w:r>
              <w:rPr>
                <w:rFonts w:hint="eastAsia" w:ascii="仿宋" w:hAnsi="仿宋" w:eastAsia="仿宋" w:cs="仿宋"/>
                <w:sz w:val="24"/>
                <w:szCs w:val="24"/>
                <w:highlight w:val="none"/>
                <w:vertAlign w:val="baseline"/>
                <w:lang w:val="en-US" w:eastAsia="zh-CN"/>
              </w:rPr>
              <w:t>，本项满分得12分</w:t>
            </w:r>
            <w:r>
              <w:rPr>
                <w:rFonts w:hint="eastAsia" w:ascii="仿宋" w:hAnsi="仿宋" w:eastAsia="仿宋" w:cs="仿宋"/>
                <w:b w:val="0"/>
                <w:bCs w:val="0"/>
                <w:color w:val="auto"/>
                <w:sz w:val="24"/>
                <w:szCs w:val="24"/>
                <w:highlight w:val="none"/>
                <w:lang w:val="en-US" w:eastAsia="zh-CN"/>
              </w:rPr>
              <w:t>，</w:t>
            </w:r>
            <w:r>
              <w:rPr>
                <w:rFonts w:hint="eastAsia" w:ascii="仿宋" w:hAnsi="仿宋" w:eastAsia="仿宋" w:cs="仿宋"/>
                <w:sz w:val="24"/>
                <w:szCs w:val="24"/>
                <w:highlight w:val="none"/>
                <w:vertAlign w:val="baseline"/>
                <w:lang w:val="en-US" w:eastAsia="zh-CN"/>
              </w:rPr>
              <w:t>有效合同业绩需提供4项，超过4项的只取前4项。</w:t>
            </w:r>
          </w:p>
          <w:p w14:paraId="4B952A19">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jc w:val="left"/>
              <w:textAlignment w:val="auto"/>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kern w:val="2"/>
                <w:sz w:val="24"/>
                <w:szCs w:val="24"/>
                <w:highlight w:val="none"/>
                <w:vertAlign w:val="baseline"/>
                <w:lang w:val="en-US" w:eastAsia="zh-CN" w:bidi="ar-SA"/>
              </w:rPr>
              <w:t>二、</w:t>
            </w:r>
            <w:r>
              <w:rPr>
                <w:rFonts w:hint="eastAsia" w:ascii="仿宋" w:hAnsi="仿宋" w:eastAsia="仿宋" w:cs="仿宋"/>
                <w:b/>
                <w:bCs/>
                <w:sz w:val="24"/>
                <w:szCs w:val="24"/>
                <w:highlight w:val="none"/>
                <w:vertAlign w:val="baseline"/>
                <w:lang w:val="en-US" w:eastAsia="zh-CN"/>
              </w:rPr>
              <w:t>评分依据：</w:t>
            </w:r>
          </w:p>
          <w:p w14:paraId="22AEBE86">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sz w:val="24"/>
                <w:szCs w:val="24"/>
                <w:highlight w:val="none"/>
                <w:vertAlign w:val="baseline"/>
                <w:lang w:val="en-US" w:eastAsia="zh-CN"/>
              </w:rPr>
              <w:t>投标人需提供合同关键页（应包含但不限于合同甲乙双方名称、服务项目名称、涉及业绩的服务内容、服务期限、签订合同时间、甲乙双方公章等关键信息），以上资料提供扫描件加盖公章。</w:t>
            </w:r>
          </w:p>
        </w:tc>
      </w:tr>
      <w:tr w14:paraId="7346CF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20" w:type="dxa"/>
            <w:vMerge w:val="continue"/>
            <w:noWrap w:val="0"/>
            <w:vAlign w:val="center"/>
          </w:tcPr>
          <w:p w14:paraId="3269CDB4">
            <w:pPr>
              <w:adjustRightInd w:val="0"/>
              <w:snapToGrid w:val="0"/>
              <w:spacing w:line="320" w:lineRule="exact"/>
              <w:jc w:val="center"/>
              <w:rPr>
                <w:rFonts w:hint="eastAsia" w:ascii="仿宋" w:hAnsi="仿宋" w:eastAsia="仿宋" w:cs="仿宋"/>
                <w:color w:val="auto"/>
                <w:sz w:val="24"/>
                <w:szCs w:val="24"/>
                <w:highlight w:val="none"/>
                <w:lang w:val="en-US" w:eastAsia="zh-CN"/>
              </w:rPr>
            </w:pPr>
          </w:p>
        </w:tc>
        <w:tc>
          <w:tcPr>
            <w:tcW w:w="1188" w:type="dxa"/>
            <w:noWrap w:val="0"/>
            <w:vAlign w:val="center"/>
          </w:tcPr>
          <w:p w14:paraId="06C02BCD">
            <w:pPr>
              <w:adjustRightInd w:val="0"/>
              <w:snapToGrid w:val="0"/>
              <w:spacing w:line="320" w:lineRule="exact"/>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授权情况及资质要求</w:t>
            </w:r>
          </w:p>
        </w:tc>
        <w:tc>
          <w:tcPr>
            <w:tcW w:w="837" w:type="dxa"/>
            <w:noWrap w:val="0"/>
            <w:vAlign w:val="center"/>
          </w:tcPr>
          <w:p w14:paraId="179A4D87">
            <w:pPr>
              <w:spacing w:line="320" w:lineRule="exact"/>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16</w:t>
            </w:r>
          </w:p>
        </w:tc>
        <w:tc>
          <w:tcPr>
            <w:tcW w:w="6871" w:type="dxa"/>
            <w:noWrap w:val="0"/>
            <w:vAlign w:val="center"/>
          </w:tcPr>
          <w:p w14:paraId="00F9728D">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一、评分内容：</w:t>
            </w:r>
          </w:p>
          <w:p w14:paraId="0E8A263A">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jc w:val="both"/>
              <w:textAlignment w:val="auto"/>
              <w:rPr>
                <w:rFonts w:hint="eastAsia" w:ascii="仿宋" w:hAnsi="仿宋" w:eastAsia="仿宋" w:cs="仿宋"/>
                <w:color w:val="auto"/>
                <w:sz w:val="24"/>
                <w:szCs w:val="24"/>
                <w:highlight w:val="none"/>
                <w:vertAlign w:val="baseline"/>
                <w:lang w:val="en-US" w:eastAsia="zh-CN"/>
              </w:rPr>
            </w:pPr>
            <w:r>
              <w:rPr>
                <w:rFonts w:hint="eastAsia" w:ascii="仿宋" w:hAnsi="仿宋" w:eastAsia="仿宋" w:cs="仿宋"/>
                <w:color w:val="auto"/>
                <w:sz w:val="24"/>
                <w:szCs w:val="24"/>
                <w:highlight w:val="none"/>
                <w:vertAlign w:val="baseline"/>
                <w:lang w:val="en-US" w:eastAsia="zh-CN"/>
              </w:rPr>
              <w:t>1.投标人提供宁德时代厂家电池维修授权证明；得8分。</w:t>
            </w:r>
          </w:p>
          <w:p w14:paraId="62E74219">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jc w:val="both"/>
              <w:textAlignment w:val="auto"/>
              <w:rPr>
                <w:rFonts w:hint="eastAsia"/>
                <w:lang w:val="en-US" w:eastAsia="zh-CN"/>
              </w:rPr>
            </w:pPr>
            <w:r>
              <w:rPr>
                <w:rFonts w:hint="eastAsia" w:ascii="仿宋" w:hAnsi="仿宋" w:eastAsia="仿宋" w:cs="仿宋"/>
                <w:color w:val="auto"/>
                <w:sz w:val="24"/>
                <w:szCs w:val="24"/>
                <w:highlight w:val="none"/>
                <w:vertAlign w:val="baseline"/>
                <w:lang w:val="en-US" w:eastAsia="zh-CN"/>
              </w:rPr>
              <w:t>2.</w:t>
            </w:r>
            <w:r>
              <w:rPr>
                <w:rFonts w:hint="default" w:ascii="仿宋" w:hAnsi="仿宋" w:eastAsia="仿宋" w:cs="仿宋"/>
                <w:color w:val="auto"/>
                <w:sz w:val="24"/>
                <w:szCs w:val="24"/>
                <w:highlight w:val="none"/>
                <w:vertAlign w:val="baseline"/>
                <w:lang w:val="en-US" w:eastAsia="zh-CN"/>
              </w:rPr>
              <w:t>投标人</w:t>
            </w:r>
            <w:r>
              <w:rPr>
                <w:rFonts w:hint="eastAsia" w:ascii="仿宋" w:hAnsi="仿宋" w:eastAsia="仿宋" w:cs="仿宋"/>
                <w:color w:val="auto"/>
                <w:sz w:val="24"/>
                <w:szCs w:val="24"/>
                <w:highlight w:val="none"/>
                <w:vertAlign w:val="baseline"/>
                <w:lang w:val="en-US" w:eastAsia="zh-CN"/>
              </w:rPr>
              <w:t>提供中联重科、三一重工、宇通、福龙马等车辆生产厂家电机及控制相关维修授权证明</w:t>
            </w:r>
            <w:r>
              <w:rPr>
                <w:rFonts w:hint="default" w:ascii="仿宋" w:hAnsi="仿宋" w:eastAsia="仿宋" w:cs="仿宋"/>
                <w:color w:val="auto"/>
                <w:sz w:val="24"/>
                <w:szCs w:val="24"/>
                <w:highlight w:val="none"/>
                <w:vertAlign w:val="baseline"/>
                <w:lang w:val="en-US" w:eastAsia="zh-CN"/>
              </w:rPr>
              <w:t>；得</w:t>
            </w:r>
            <w:r>
              <w:rPr>
                <w:rFonts w:hint="eastAsia" w:ascii="仿宋" w:hAnsi="仿宋" w:eastAsia="仿宋" w:cs="仿宋"/>
                <w:color w:val="auto"/>
                <w:sz w:val="24"/>
                <w:szCs w:val="24"/>
                <w:highlight w:val="none"/>
                <w:vertAlign w:val="baseline"/>
                <w:lang w:val="en-US" w:eastAsia="zh-CN"/>
              </w:rPr>
              <w:t>5</w:t>
            </w:r>
            <w:r>
              <w:rPr>
                <w:rFonts w:hint="default" w:ascii="仿宋" w:hAnsi="仿宋" w:eastAsia="仿宋" w:cs="仿宋"/>
                <w:color w:val="auto"/>
                <w:sz w:val="24"/>
                <w:szCs w:val="24"/>
                <w:highlight w:val="none"/>
                <w:vertAlign w:val="baseline"/>
                <w:lang w:val="en-US" w:eastAsia="zh-CN"/>
              </w:rPr>
              <w:t>分。</w:t>
            </w:r>
          </w:p>
          <w:p w14:paraId="7387ADE5">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jc w:val="both"/>
              <w:textAlignment w:val="auto"/>
              <w:rPr>
                <w:rFonts w:hint="default" w:ascii="仿宋" w:hAnsi="仿宋" w:eastAsia="仿宋" w:cs="仿宋"/>
                <w:color w:val="auto"/>
                <w:sz w:val="24"/>
                <w:szCs w:val="24"/>
                <w:highlight w:val="none"/>
                <w:vertAlign w:val="baseline"/>
                <w:lang w:val="en-US" w:eastAsia="zh-CN"/>
              </w:rPr>
            </w:pPr>
            <w:r>
              <w:rPr>
                <w:rFonts w:hint="eastAsia" w:ascii="仿宋" w:hAnsi="仿宋" w:eastAsia="仿宋" w:cs="仿宋"/>
                <w:color w:val="auto"/>
                <w:sz w:val="24"/>
                <w:szCs w:val="24"/>
                <w:highlight w:val="none"/>
                <w:vertAlign w:val="baseline"/>
                <w:lang w:val="en-US" w:eastAsia="zh-CN"/>
              </w:rPr>
              <w:t>3.</w:t>
            </w:r>
            <w:r>
              <w:rPr>
                <w:rFonts w:hint="default" w:ascii="仿宋" w:hAnsi="仿宋" w:eastAsia="仿宋" w:cs="仿宋"/>
                <w:color w:val="auto"/>
                <w:sz w:val="24"/>
                <w:szCs w:val="24"/>
                <w:highlight w:val="none"/>
                <w:vertAlign w:val="baseline"/>
                <w:lang w:val="en-US" w:eastAsia="zh-CN"/>
              </w:rPr>
              <w:t>投标人</w:t>
            </w:r>
            <w:r>
              <w:rPr>
                <w:rFonts w:hint="eastAsia" w:ascii="仿宋" w:hAnsi="仿宋" w:eastAsia="仿宋" w:cs="仿宋"/>
                <w:color w:val="auto"/>
                <w:sz w:val="24"/>
                <w:szCs w:val="24"/>
                <w:highlight w:val="none"/>
                <w:vertAlign w:val="baseline"/>
                <w:lang w:val="en-US" w:eastAsia="zh-CN"/>
              </w:rPr>
              <w:t>提供维修二类或以上资质证明</w:t>
            </w:r>
            <w:r>
              <w:rPr>
                <w:rFonts w:hint="default" w:ascii="仿宋" w:hAnsi="仿宋" w:eastAsia="仿宋" w:cs="仿宋"/>
                <w:color w:val="auto"/>
                <w:sz w:val="24"/>
                <w:szCs w:val="24"/>
                <w:highlight w:val="none"/>
                <w:vertAlign w:val="baseline"/>
                <w:lang w:val="en-US" w:eastAsia="zh-CN"/>
              </w:rPr>
              <w:t>；得</w:t>
            </w:r>
            <w:r>
              <w:rPr>
                <w:rFonts w:hint="eastAsia" w:ascii="仿宋" w:hAnsi="仿宋" w:eastAsia="仿宋" w:cs="仿宋"/>
                <w:color w:val="auto"/>
                <w:sz w:val="24"/>
                <w:szCs w:val="24"/>
                <w:highlight w:val="none"/>
                <w:vertAlign w:val="baseline"/>
                <w:lang w:val="en-US" w:eastAsia="zh-CN"/>
              </w:rPr>
              <w:t>3</w:t>
            </w:r>
            <w:r>
              <w:rPr>
                <w:rFonts w:hint="default" w:ascii="仿宋" w:hAnsi="仿宋" w:eastAsia="仿宋" w:cs="仿宋"/>
                <w:color w:val="auto"/>
                <w:sz w:val="24"/>
                <w:szCs w:val="24"/>
                <w:highlight w:val="none"/>
                <w:vertAlign w:val="baseline"/>
                <w:lang w:val="en-US" w:eastAsia="zh-CN"/>
              </w:rPr>
              <w:t>分。</w:t>
            </w:r>
          </w:p>
          <w:p w14:paraId="18454088">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jc w:val="left"/>
              <w:textAlignment w:val="auto"/>
              <w:rPr>
                <w:rFonts w:hint="eastAsia"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kern w:val="2"/>
                <w:sz w:val="24"/>
                <w:szCs w:val="24"/>
                <w:highlight w:val="none"/>
                <w:vertAlign w:val="baseline"/>
                <w:lang w:val="en-US" w:eastAsia="zh-CN" w:bidi="ar-SA"/>
              </w:rPr>
              <w:t>二、</w:t>
            </w:r>
            <w:r>
              <w:rPr>
                <w:rFonts w:hint="eastAsia" w:ascii="仿宋" w:hAnsi="仿宋" w:eastAsia="仿宋" w:cs="仿宋"/>
                <w:b/>
                <w:bCs/>
                <w:color w:val="auto"/>
                <w:sz w:val="24"/>
                <w:szCs w:val="24"/>
                <w:highlight w:val="none"/>
                <w:vertAlign w:val="baseline"/>
                <w:lang w:val="en-US" w:eastAsia="zh-CN"/>
              </w:rPr>
              <w:t>评分依据：</w:t>
            </w:r>
          </w:p>
          <w:p w14:paraId="59293097">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eastAsia" w:ascii="仿宋" w:hAnsi="仿宋" w:eastAsia="仿宋" w:cs="仿宋"/>
                <w:color w:val="auto"/>
                <w:sz w:val="24"/>
                <w:szCs w:val="24"/>
                <w:highlight w:val="none"/>
                <w:vertAlign w:val="baseline"/>
                <w:lang w:val="en-US" w:eastAsia="zh-CN"/>
              </w:rPr>
            </w:pPr>
            <w:r>
              <w:rPr>
                <w:rFonts w:hint="eastAsia" w:ascii="仿宋" w:hAnsi="仿宋" w:eastAsia="仿宋" w:cs="仿宋"/>
                <w:color w:val="auto"/>
                <w:sz w:val="24"/>
                <w:szCs w:val="24"/>
                <w:highlight w:val="none"/>
                <w:vertAlign w:val="baseline"/>
                <w:lang w:val="en-US" w:eastAsia="zh-CN"/>
              </w:rPr>
              <w:t>投标人需提供授权合同关键页（应包含但不限于合同甲乙双方名称、授权期限、签订合同时间、甲乙双方公章等关键信息）。以上资料提供扫描件加盖公章。</w:t>
            </w:r>
          </w:p>
        </w:tc>
      </w:tr>
      <w:tr w14:paraId="440F3D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8" w:hRule="atLeast"/>
          <w:jc w:val="center"/>
        </w:trPr>
        <w:tc>
          <w:tcPr>
            <w:tcW w:w="720" w:type="dxa"/>
            <w:vMerge w:val="continue"/>
            <w:noWrap w:val="0"/>
            <w:vAlign w:val="center"/>
          </w:tcPr>
          <w:p w14:paraId="7919DAF4">
            <w:pPr>
              <w:adjustRightInd w:val="0"/>
              <w:snapToGrid w:val="0"/>
              <w:spacing w:line="320" w:lineRule="exact"/>
              <w:jc w:val="center"/>
              <w:rPr>
                <w:rFonts w:hint="eastAsia" w:ascii="仿宋" w:hAnsi="仿宋" w:eastAsia="仿宋" w:cs="仿宋"/>
                <w:color w:val="auto"/>
                <w:sz w:val="24"/>
                <w:szCs w:val="24"/>
                <w:highlight w:val="none"/>
                <w:lang w:val="en-US" w:eastAsia="zh-CN"/>
              </w:rPr>
            </w:pPr>
          </w:p>
        </w:tc>
        <w:tc>
          <w:tcPr>
            <w:tcW w:w="1188" w:type="dxa"/>
            <w:noWrap w:val="0"/>
            <w:vAlign w:val="center"/>
          </w:tcPr>
          <w:p w14:paraId="45ED35BF">
            <w:pPr>
              <w:adjustRightInd w:val="0"/>
              <w:snapToGrid w:val="0"/>
              <w:spacing w:line="320" w:lineRule="exact"/>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场地情况</w:t>
            </w:r>
          </w:p>
        </w:tc>
        <w:tc>
          <w:tcPr>
            <w:tcW w:w="837" w:type="dxa"/>
            <w:noWrap w:val="0"/>
            <w:vAlign w:val="center"/>
          </w:tcPr>
          <w:p w14:paraId="156BD043">
            <w:pPr>
              <w:spacing w:line="320" w:lineRule="exact"/>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p>
        </w:tc>
        <w:tc>
          <w:tcPr>
            <w:tcW w:w="6871" w:type="dxa"/>
            <w:noWrap w:val="0"/>
            <w:vAlign w:val="center"/>
          </w:tcPr>
          <w:p w14:paraId="6DEB0DBF">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一、评分内容：</w:t>
            </w:r>
          </w:p>
          <w:p w14:paraId="496BF7A8">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eastAsia" w:ascii="仿宋" w:hAnsi="仿宋" w:eastAsia="仿宋" w:cs="仿宋"/>
                <w:color w:val="auto"/>
                <w:sz w:val="24"/>
                <w:szCs w:val="24"/>
                <w:highlight w:val="none"/>
                <w:vertAlign w:val="baseline"/>
                <w:lang w:val="en-US" w:eastAsia="zh-CN"/>
              </w:rPr>
            </w:pPr>
            <w:r>
              <w:rPr>
                <w:rFonts w:hint="eastAsia" w:ascii="仿宋" w:hAnsi="仿宋" w:eastAsia="仿宋" w:cs="仿宋"/>
                <w:color w:val="auto"/>
                <w:sz w:val="24"/>
                <w:szCs w:val="24"/>
                <w:highlight w:val="none"/>
                <w:vertAlign w:val="baseline"/>
                <w:lang w:val="en-US" w:eastAsia="zh-CN"/>
              </w:rPr>
              <w:t>1.投标人场地面积≥1000m²，且具备非露天维修作业区域，得2分；</w:t>
            </w:r>
          </w:p>
          <w:p w14:paraId="20DA0A83">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default" w:ascii="仿宋" w:hAnsi="仿宋" w:eastAsia="仿宋" w:cs="仿宋"/>
                <w:color w:val="auto"/>
                <w:sz w:val="24"/>
                <w:szCs w:val="24"/>
                <w:highlight w:val="none"/>
                <w:vertAlign w:val="baseline"/>
                <w:lang w:val="en-US" w:eastAsia="zh-CN"/>
              </w:rPr>
            </w:pPr>
            <w:r>
              <w:rPr>
                <w:rFonts w:hint="eastAsia" w:ascii="仿宋" w:hAnsi="仿宋" w:eastAsia="仿宋" w:cs="仿宋"/>
                <w:color w:val="auto"/>
                <w:sz w:val="24"/>
                <w:szCs w:val="24"/>
                <w:highlight w:val="none"/>
                <w:vertAlign w:val="baseline"/>
                <w:lang w:val="en-US" w:eastAsia="zh-CN"/>
              </w:rPr>
              <w:t>2.投标人场地位于深圳市龙华区内，可得2分；位于深圳市内，得1分，其余不得分。</w:t>
            </w:r>
          </w:p>
          <w:p w14:paraId="7A8ADE3F">
            <w:pPr>
              <w:pStyle w:val="5"/>
              <w:keepNext w:val="0"/>
              <w:keepLines w:val="0"/>
              <w:pageBreakBefore w:val="0"/>
              <w:widowControl w:val="0"/>
              <w:kinsoku/>
              <w:wordWrap/>
              <w:overflowPunct/>
              <w:topLinePunct w:val="0"/>
              <w:autoSpaceDE/>
              <w:autoSpaceDN/>
              <w:bidi w:val="0"/>
              <w:adjustRightInd w:val="0"/>
              <w:snapToGrid w:val="0"/>
              <w:spacing w:line="400" w:lineRule="exact"/>
              <w:jc w:val="both"/>
              <w:textAlignment w:val="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vertAlign w:val="baseline"/>
                <w:lang w:val="en-US" w:eastAsia="zh-CN" w:bidi="ar-SA"/>
              </w:rPr>
              <w:t>二、</w:t>
            </w:r>
            <w:r>
              <w:rPr>
                <w:rFonts w:hint="eastAsia" w:ascii="仿宋" w:hAnsi="仿宋" w:eastAsia="仿宋" w:cs="仿宋"/>
                <w:b/>
                <w:bCs/>
                <w:color w:val="auto"/>
                <w:sz w:val="24"/>
                <w:szCs w:val="24"/>
                <w:highlight w:val="none"/>
                <w:vertAlign w:val="baseline"/>
                <w:lang w:val="en-US" w:eastAsia="zh-CN"/>
              </w:rPr>
              <w:t>评分依据</w:t>
            </w:r>
            <w:r>
              <w:rPr>
                <w:rFonts w:hint="eastAsia" w:ascii="仿宋" w:hAnsi="仿宋" w:eastAsia="仿宋" w:cs="仿宋"/>
                <w:b/>
                <w:bCs/>
                <w:color w:val="auto"/>
                <w:kern w:val="2"/>
                <w:sz w:val="24"/>
                <w:szCs w:val="24"/>
                <w:highlight w:val="none"/>
                <w:lang w:val="en-US" w:eastAsia="zh-CN" w:bidi="ar-SA"/>
              </w:rPr>
              <w:t>：</w:t>
            </w:r>
          </w:p>
          <w:p w14:paraId="1E129833">
            <w:pPr>
              <w:pStyle w:val="5"/>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default"/>
                <w:color w:val="auto"/>
                <w:lang w:val="en-US" w:eastAsia="zh-CN"/>
              </w:rPr>
            </w:pPr>
            <w:r>
              <w:rPr>
                <w:rFonts w:hint="eastAsia" w:ascii="仿宋" w:hAnsi="仿宋" w:eastAsia="仿宋" w:cs="仿宋"/>
                <w:b w:val="0"/>
                <w:bCs w:val="0"/>
                <w:color w:val="auto"/>
                <w:kern w:val="2"/>
                <w:sz w:val="24"/>
                <w:szCs w:val="24"/>
                <w:highlight w:val="none"/>
                <w:vertAlign w:val="baseline"/>
                <w:lang w:val="en-US" w:eastAsia="zh-CN" w:bidi="ar-SA"/>
              </w:rPr>
              <w:t>投标人需提供场地租赁合同、非露天区域及维修作业场地图片证明；不提供或不满足任一要求的或评审专家无法认定的不得分。招标人保留现场核实的权利，如投标单位提供虚假信息应标，将取消投标单位的中标资格，并且一切责任由投标单位承担。</w:t>
            </w:r>
          </w:p>
        </w:tc>
      </w:tr>
      <w:tr w14:paraId="66B929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56" w:hRule="atLeast"/>
          <w:jc w:val="center"/>
        </w:trPr>
        <w:tc>
          <w:tcPr>
            <w:tcW w:w="720" w:type="dxa"/>
            <w:vMerge w:val="continue"/>
            <w:noWrap w:val="0"/>
            <w:vAlign w:val="center"/>
          </w:tcPr>
          <w:p w14:paraId="2EA315B9">
            <w:pPr>
              <w:adjustRightInd w:val="0"/>
              <w:snapToGrid w:val="0"/>
              <w:spacing w:line="320" w:lineRule="exact"/>
              <w:jc w:val="center"/>
              <w:rPr>
                <w:rFonts w:hint="eastAsia" w:ascii="仿宋" w:hAnsi="仿宋" w:eastAsia="仿宋" w:cs="仿宋"/>
                <w:color w:val="auto"/>
                <w:sz w:val="24"/>
                <w:szCs w:val="24"/>
                <w:highlight w:val="none"/>
                <w:lang w:val="en-US" w:eastAsia="zh-CN"/>
              </w:rPr>
            </w:pPr>
          </w:p>
        </w:tc>
        <w:tc>
          <w:tcPr>
            <w:tcW w:w="1188" w:type="dxa"/>
            <w:noWrap w:val="0"/>
            <w:vAlign w:val="center"/>
          </w:tcPr>
          <w:p w14:paraId="7AD42A33">
            <w:pPr>
              <w:adjustRightInd w:val="0"/>
              <w:snapToGrid w:val="0"/>
              <w:spacing w:line="320" w:lineRule="exact"/>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自有维修设备及仓库情况</w:t>
            </w:r>
          </w:p>
        </w:tc>
        <w:tc>
          <w:tcPr>
            <w:tcW w:w="837" w:type="dxa"/>
            <w:noWrap w:val="0"/>
            <w:vAlign w:val="center"/>
          </w:tcPr>
          <w:p w14:paraId="6962A23D">
            <w:pPr>
              <w:spacing w:line="320" w:lineRule="exact"/>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15</w:t>
            </w:r>
          </w:p>
        </w:tc>
        <w:tc>
          <w:tcPr>
            <w:tcW w:w="6871" w:type="dxa"/>
            <w:noWrap w:val="0"/>
            <w:vAlign w:val="center"/>
          </w:tcPr>
          <w:p w14:paraId="1AA5F647">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一、评分内容：</w:t>
            </w:r>
          </w:p>
          <w:p w14:paraId="49B6E5ED">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default" w:ascii="仿宋" w:hAnsi="仿宋" w:eastAsia="仿宋" w:cs="仿宋"/>
                <w:color w:val="auto"/>
                <w:sz w:val="24"/>
                <w:szCs w:val="24"/>
                <w:highlight w:val="none"/>
                <w:vertAlign w:val="baseline"/>
                <w:lang w:val="en-US" w:eastAsia="zh-CN"/>
              </w:rPr>
            </w:pPr>
            <w:r>
              <w:rPr>
                <w:rFonts w:hint="eastAsia" w:ascii="仿宋" w:hAnsi="仿宋" w:eastAsia="仿宋" w:cs="仿宋"/>
                <w:color w:val="auto"/>
                <w:sz w:val="24"/>
                <w:szCs w:val="24"/>
                <w:highlight w:val="none"/>
                <w:vertAlign w:val="baseline"/>
                <w:lang w:val="en-US" w:eastAsia="zh-CN"/>
              </w:rPr>
              <w:t>1.投标人具有举升机（或大车地沟）数量为3个及以上的，得5分；数量为2个的，得3分；数量为1个的，得1分；其他不得分；本项最高得5分；</w:t>
            </w:r>
          </w:p>
          <w:p w14:paraId="65F83CC0">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eastAsia" w:ascii="仿宋" w:hAnsi="仿宋" w:eastAsia="仿宋" w:cs="仿宋"/>
                <w:color w:val="auto"/>
                <w:sz w:val="24"/>
                <w:szCs w:val="24"/>
                <w:highlight w:val="none"/>
                <w:vertAlign w:val="baseline"/>
                <w:lang w:val="en-US" w:eastAsia="zh-CN"/>
              </w:rPr>
            </w:pPr>
            <w:r>
              <w:rPr>
                <w:rFonts w:hint="eastAsia" w:ascii="仿宋" w:hAnsi="仿宋" w:eastAsia="仿宋" w:cs="仿宋"/>
                <w:color w:val="auto"/>
                <w:sz w:val="24"/>
                <w:szCs w:val="24"/>
                <w:highlight w:val="none"/>
                <w:vertAlign w:val="baseline"/>
                <w:lang w:val="en-US" w:eastAsia="zh-CN"/>
              </w:rPr>
              <w:t>2.其他维修设备情况：投标人具备以下维修设备（功能相同即可）的，每具备一项得1分，不可重复计分，每一项累加计分，最高得6分：①电池检测设备、②电动机及驱动系统测试设备、③充电设备检测仪、④电控电脑检测设备、⑤空调泵检测设备、⑥电脑诊断仪。</w:t>
            </w:r>
          </w:p>
          <w:p w14:paraId="7B0BC9EF">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eastAsia" w:ascii="仿宋" w:hAnsi="仿宋" w:eastAsia="仿宋" w:cs="仿宋"/>
                <w:color w:val="auto"/>
                <w:sz w:val="24"/>
                <w:szCs w:val="24"/>
                <w:highlight w:val="none"/>
                <w:vertAlign w:val="baseline"/>
                <w:lang w:val="en-US" w:eastAsia="zh-CN"/>
              </w:rPr>
            </w:pPr>
            <w:r>
              <w:rPr>
                <w:rFonts w:hint="eastAsia" w:ascii="仿宋" w:hAnsi="仿宋" w:eastAsia="仿宋" w:cs="仿宋"/>
                <w:color w:val="auto"/>
                <w:sz w:val="24"/>
                <w:szCs w:val="24"/>
                <w:highlight w:val="none"/>
                <w:vertAlign w:val="baseline"/>
                <w:lang w:val="en-US" w:eastAsia="zh-CN"/>
              </w:rPr>
              <w:t>3.投标人具有独立的零配件仓库，得4分；</w:t>
            </w:r>
          </w:p>
          <w:p w14:paraId="55568007">
            <w:pPr>
              <w:pStyle w:val="5"/>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vertAlign w:val="baseline"/>
                <w:lang w:val="en-US" w:eastAsia="zh-CN" w:bidi="ar-SA"/>
              </w:rPr>
              <w:t>二、</w:t>
            </w:r>
            <w:r>
              <w:rPr>
                <w:rFonts w:hint="eastAsia" w:ascii="仿宋" w:hAnsi="仿宋" w:eastAsia="仿宋" w:cs="仿宋"/>
                <w:b/>
                <w:bCs/>
                <w:color w:val="auto"/>
                <w:sz w:val="24"/>
                <w:szCs w:val="24"/>
                <w:highlight w:val="none"/>
                <w:vertAlign w:val="baseline"/>
                <w:lang w:val="en-US" w:eastAsia="zh-CN"/>
              </w:rPr>
              <w:t>评分依据</w:t>
            </w:r>
            <w:r>
              <w:rPr>
                <w:rFonts w:hint="eastAsia" w:ascii="仿宋" w:hAnsi="仿宋" w:eastAsia="仿宋" w:cs="仿宋"/>
                <w:b/>
                <w:bCs/>
                <w:color w:val="auto"/>
                <w:kern w:val="2"/>
                <w:sz w:val="24"/>
                <w:szCs w:val="24"/>
                <w:highlight w:val="none"/>
                <w:lang w:val="en-US" w:eastAsia="zh-CN" w:bidi="ar-SA"/>
              </w:rPr>
              <w:t>：</w:t>
            </w:r>
          </w:p>
          <w:p w14:paraId="5EE9217E">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eastAsia" w:ascii="仿宋" w:hAnsi="仿宋" w:eastAsia="仿宋" w:cs="仿宋"/>
                <w:color w:val="auto"/>
                <w:sz w:val="24"/>
                <w:szCs w:val="24"/>
                <w:highlight w:val="none"/>
                <w:vertAlign w:val="baseline"/>
                <w:lang w:val="en-US" w:eastAsia="zh-CN"/>
              </w:rPr>
            </w:pPr>
            <w:r>
              <w:rPr>
                <w:rFonts w:hint="eastAsia" w:ascii="仿宋" w:hAnsi="仿宋" w:eastAsia="仿宋" w:cs="仿宋"/>
                <w:color w:val="auto"/>
                <w:sz w:val="24"/>
                <w:szCs w:val="24"/>
                <w:highlight w:val="none"/>
                <w:vertAlign w:val="baseline"/>
                <w:lang w:val="en-US" w:eastAsia="zh-CN"/>
              </w:rPr>
              <w:t>1.提供设备现场图片（不得露天维修），大车地沟仅需提供现场照片；</w:t>
            </w:r>
          </w:p>
          <w:p w14:paraId="03A6DB54">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eastAsia" w:ascii="仿宋" w:hAnsi="仿宋" w:eastAsia="仿宋" w:cs="仿宋"/>
                <w:color w:val="auto"/>
                <w:sz w:val="24"/>
                <w:szCs w:val="24"/>
                <w:highlight w:val="none"/>
                <w:vertAlign w:val="baseline"/>
                <w:lang w:val="en-US" w:eastAsia="zh-CN"/>
              </w:rPr>
            </w:pPr>
            <w:r>
              <w:rPr>
                <w:rFonts w:hint="eastAsia" w:ascii="仿宋" w:hAnsi="仿宋" w:eastAsia="仿宋" w:cs="仿宋"/>
                <w:color w:val="auto"/>
                <w:sz w:val="24"/>
                <w:szCs w:val="24"/>
                <w:highlight w:val="none"/>
                <w:vertAlign w:val="baseline"/>
                <w:lang w:val="en-US" w:eastAsia="zh-CN"/>
              </w:rPr>
              <w:t>2.如维修设备为投标人自行购置或租赁，则提供购置发票或租赁合同（如为租赁设备需提供近三个月的租赁费用佐证材料（如发票）复印件），购置发票或租赁合同须是属于投标人或投标人法定代表人，因证明材料提供不清晰、信息存在缺漏等情况导致专家无法凭所提供资料判断是否得分的，一律作不得分处理。</w:t>
            </w:r>
          </w:p>
          <w:p w14:paraId="56E172B2">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default"/>
                <w:color w:val="auto"/>
                <w:lang w:val="en-US" w:eastAsia="zh-CN"/>
              </w:rPr>
            </w:pPr>
            <w:r>
              <w:rPr>
                <w:rFonts w:hint="eastAsia" w:ascii="仿宋" w:hAnsi="仿宋" w:eastAsia="仿宋" w:cs="仿宋"/>
                <w:color w:val="auto"/>
                <w:sz w:val="24"/>
                <w:szCs w:val="24"/>
                <w:highlight w:val="none"/>
                <w:vertAlign w:val="baseline"/>
                <w:lang w:val="en-US" w:eastAsia="zh-CN"/>
              </w:rPr>
              <w:t>3.如维修设备为投标人自行研发生产，则提供具体上述设备的研发或生产制造能力的证明材料，如专利证书、版权证明等。</w:t>
            </w:r>
          </w:p>
        </w:tc>
      </w:tr>
      <w:tr w14:paraId="435790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20" w:type="dxa"/>
            <w:vMerge w:val="continue"/>
            <w:noWrap w:val="0"/>
            <w:vAlign w:val="center"/>
          </w:tcPr>
          <w:p w14:paraId="551BA325">
            <w:pPr>
              <w:adjustRightInd w:val="0"/>
              <w:snapToGrid w:val="0"/>
              <w:spacing w:line="320" w:lineRule="exact"/>
              <w:jc w:val="center"/>
              <w:rPr>
                <w:rFonts w:hint="eastAsia" w:ascii="仿宋" w:hAnsi="仿宋" w:eastAsia="仿宋" w:cs="仿宋"/>
                <w:color w:val="auto"/>
                <w:sz w:val="24"/>
                <w:szCs w:val="24"/>
                <w:highlight w:val="none"/>
                <w:lang w:val="en-US" w:eastAsia="zh-CN"/>
              </w:rPr>
            </w:pPr>
          </w:p>
        </w:tc>
        <w:tc>
          <w:tcPr>
            <w:tcW w:w="1188" w:type="dxa"/>
            <w:noWrap w:val="0"/>
            <w:vAlign w:val="center"/>
          </w:tcPr>
          <w:p w14:paraId="100D847C">
            <w:pPr>
              <w:adjustRightInd w:val="0"/>
              <w:snapToGrid w:val="0"/>
              <w:spacing w:line="32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拟投入本项目使用的车辆情况</w:t>
            </w:r>
          </w:p>
        </w:tc>
        <w:tc>
          <w:tcPr>
            <w:tcW w:w="837" w:type="dxa"/>
            <w:noWrap w:val="0"/>
            <w:vAlign w:val="center"/>
          </w:tcPr>
          <w:p w14:paraId="3806EE75">
            <w:pPr>
              <w:spacing w:line="320" w:lineRule="exact"/>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p>
        </w:tc>
        <w:tc>
          <w:tcPr>
            <w:tcW w:w="6871" w:type="dxa"/>
            <w:noWrap w:val="0"/>
            <w:vAlign w:val="center"/>
          </w:tcPr>
          <w:p w14:paraId="337641BA">
            <w:pPr>
              <w:keepNext w:val="0"/>
              <w:keepLines w:val="0"/>
              <w:pageBreakBefore w:val="0"/>
              <w:widowControl w:val="0"/>
              <w:kinsoku/>
              <w:wordWrap/>
              <w:overflowPunct/>
              <w:topLinePunct w:val="0"/>
              <w:autoSpaceDE/>
              <w:autoSpaceDN/>
              <w:bidi w:val="0"/>
              <w:adjustRightInd w:val="0"/>
              <w:snapToGrid w:val="0"/>
              <w:spacing w:line="280" w:lineRule="exact"/>
              <w:jc w:val="left"/>
              <w:textAlignment w:val="auto"/>
              <w:rPr>
                <w:rFonts w:hint="eastAsia"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一、评分内容：</w:t>
            </w:r>
          </w:p>
          <w:p w14:paraId="0A50B0A1">
            <w:pPr>
              <w:pStyle w:val="5"/>
              <w:keepNext w:val="0"/>
              <w:keepLines w:val="0"/>
              <w:pageBreakBefore w:val="0"/>
              <w:widowControl w:val="0"/>
              <w:kinsoku/>
              <w:wordWrap/>
              <w:overflowPunct/>
              <w:topLinePunct w:val="0"/>
              <w:autoSpaceDE/>
              <w:autoSpaceDN/>
              <w:bidi w:val="0"/>
              <w:adjustRightInd/>
              <w:snapToGrid/>
              <w:spacing w:line="280" w:lineRule="exact"/>
              <w:ind w:firstLine="480" w:firstLineChars="200"/>
              <w:textAlignment w:val="auto"/>
              <w:rPr>
                <w:rFonts w:hint="eastAsia" w:ascii="仿宋" w:hAnsi="仿宋" w:eastAsia="仿宋" w:cs="仿宋"/>
                <w:b w:val="0"/>
                <w:bCs w:val="0"/>
                <w:color w:val="auto"/>
                <w:kern w:val="2"/>
                <w:sz w:val="24"/>
                <w:szCs w:val="24"/>
                <w:highlight w:val="none"/>
                <w:vertAlign w:val="baseline"/>
                <w:lang w:val="en-US" w:eastAsia="zh-CN" w:bidi="ar-SA"/>
              </w:rPr>
            </w:pPr>
            <w:r>
              <w:rPr>
                <w:rFonts w:hint="eastAsia" w:ascii="仿宋" w:hAnsi="仿宋" w:eastAsia="仿宋" w:cs="仿宋"/>
                <w:b w:val="0"/>
                <w:bCs w:val="0"/>
                <w:color w:val="auto"/>
                <w:kern w:val="2"/>
                <w:sz w:val="24"/>
                <w:szCs w:val="24"/>
                <w:highlight w:val="none"/>
                <w:vertAlign w:val="baseline"/>
                <w:lang w:val="en-US" w:eastAsia="zh-CN" w:bidi="ar-SA"/>
              </w:rPr>
              <w:t>投标人需提供1台拟使用于本项目的粤B牌作业车辆。需为自有或租赁车辆，本项最高得3分。</w:t>
            </w:r>
          </w:p>
          <w:p w14:paraId="65FDCAD1">
            <w:pPr>
              <w:keepNext w:val="0"/>
              <w:keepLines w:val="0"/>
              <w:pageBreakBefore w:val="0"/>
              <w:widowControl w:val="0"/>
              <w:kinsoku/>
              <w:wordWrap/>
              <w:overflowPunct/>
              <w:topLinePunct w:val="0"/>
              <w:autoSpaceDE/>
              <w:autoSpaceDN/>
              <w:bidi w:val="0"/>
              <w:adjustRightInd w:val="0"/>
              <w:snapToGrid w:val="0"/>
              <w:spacing w:line="280" w:lineRule="exact"/>
              <w:jc w:val="left"/>
              <w:textAlignment w:val="auto"/>
              <w:rPr>
                <w:rFonts w:hint="eastAsia"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二、评分依据：</w:t>
            </w:r>
          </w:p>
          <w:p w14:paraId="7058D812">
            <w:pPr>
              <w:pStyle w:val="5"/>
              <w:keepNext w:val="0"/>
              <w:keepLines w:val="0"/>
              <w:pageBreakBefore w:val="0"/>
              <w:widowControl w:val="0"/>
              <w:kinsoku/>
              <w:wordWrap/>
              <w:overflowPunct/>
              <w:topLinePunct w:val="0"/>
              <w:autoSpaceDE/>
              <w:autoSpaceDN/>
              <w:bidi w:val="0"/>
              <w:adjustRightInd/>
              <w:snapToGrid/>
              <w:spacing w:line="280" w:lineRule="exact"/>
              <w:ind w:firstLine="480" w:firstLineChars="200"/>
              <w:textAlignment w:val="auto"/>
              <w:rPr>
                <w:rFonts w:hint="eastAsia" w:ascii="仿宋" w:hAnsi="仿宋" w:eastAsia="仿宋" w:cs="仿宋"/>
                <w:b w:val="0"/>
                <w:bCs w:val="0"/>
                <w:color w:val="auto"/>
                <w:kern w:val="2"/>
                <w:sz w:val="24"/>
                <w:szCs w:val="24"/>
                <w:highlight w:val="none"/>
                <w:vertAlign w:val="baseline"/>
                <w:lang w:val="en-US" w:eastAsia="zh-CN" w:bidi="ar-SA"/>
              </w:rPr>
            </w:pPr>
            <w:r>
              <w:rPr>
                <w:rFonts w:hint="eastAsia" w:ascii="仿宋" w:hAnsi="仿宋" w:eastAsia="仿宋" w:cs="仿宋"/>
                <w:b w:val="0"/>
                <w:bCs w:val="0"/>
                <w:color w:val="auto"/>
                <w:kern w:val="2"/>
                <w:sz w:val="24"/>
                <w:szCs w:val="24"/>
                <w:highlight w:val="none"/>
                <w:vertAlign w:val="baseline"/>
                <w:lang w:val="en-US" w:eastAsia="zh-CN" w:bidi="ar-SA"/>
              </w:rPr>
              <w:t>1.自有车辆需提供车辆行驶证或购置发票复印件，所有权必须属于投标人；租赁车辆需提供车辆行驶证、租赁合同及租赁发票（提供近三个月，即2026年3月至2026年5月）；</w:t>
            </w:r>
          </w:p>
        </w:tc>
      </w:tr>
      <w:tr w14:paraId="065C84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10" w:hRule="atLeast"/>
          <w:jc w:val="center"/>
        </w:trPr>
        <w:tc>
          <w:tcPr>
            <w:tcW w:w="720" w:type="dxa"/>
            <w:vMerge w:val="continue"/>
            <w:noWrap w:val="0"/>
            <w:vAlign w:val="center"/>
          </w:tcPr>
          <w:p w14:paraId="1C2C318A">
            <w:pPr>
              <w:adjustRightInd w:val="0"/>
              <w:snapToGrid w:val="0"/>
              <w:spacing w:line="320" w:lineRule="exact"/>
              <w:jc w:val="center"/>
              <w:rPr>
                <w:rFonts w:hint="eastAsia" w:ascii="仿宋" w:hAnsi="仿宋" w:eastAsia="仿宋" w:cs="仿宋"/>
                <w:color w:val="auto"/>
                <w:sz w:val="24"/>
                <w:szCs w:val="24"/>
                <w:highlight w:val="none"/>
              </w:rPr>
            </w:pPr>
          </w:p>
        </w:tc>
        <w:tc>
          <w:tcPr>
            <w:tcW w:w="1188" w:type="dxa"/>
            <w:noWrap w:val="0"/>
            <w:vAlign w:val="center"/>
          </w:tcPr>
          <w:p w14:paraId="7259F0DC">
            <w:pPr>
              <w:adjustRightInd w:val="0"/>
              <w:snapToGrid w:val="0"/>
              <w:spacing w:line="32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安全生产标准化认证情况</w:t>
            </w:r>
          </w:p>
        </w:tc>
        <w:tc>
          <w:tcPr>
            <w:tcW w:w="837" w:type="dxa"/>
            <w:noWrap w:val="0"/>
            <w:vAlign w:val="center"/>
          </w:tcPr>
          <w:p w14:paraId="4F2B1FF8">
            <w:pPr>
              <w:spacing w:line="320" w:lineRule="exact"/>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w:t>
            </w:r>
          </w:p>
        </w:tc>
        <w:tc>
          <w:tcPr>
            <w:tcW w:w="6871" w:type="dxa"/>
            <w:noWrap w:val="0"/>
            <w:vAlign w:val="center"/>
          </w:tcPr>
          <w:p w14:paraId="58744A4D">
            <w:pPr>
              <w:pStyle w:val="1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80" w:lineRule="exact"/>
              <w:ind w:left="0" w:leftChars="0" w:right="0" w:firstLine="0" w:firstLineChars="0"/>
              <w:jc w:val="left"/>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一、评分内容：</w:t>
            </w:r>
          </w:p>
          <w:p w14:paraId="3EC15A49">
            <w:pPr>
              <w:pStyle w:val="1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480" w:firstLineChars="200"/>
              <w:jc w:val="left"/>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投标人需提供安全生产标准化认证，本项最高得5分。</w:t>
            </w:r>
          </w:p>
          <w:p w14:paraId="7C9E082E">
            <w:pPr>
              <w:pStyle w:val="1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80" w:lineRule="exact"/>
              <w:ind w:left="0" w:leftChars="0" w:right="0" w:firstLine="0" w:firstLineChars="0"/>
              <w:jc w:val="left"/>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二、评分依据</w:t>
            </w:r>
          </w:p>
          <w:p w14:paraId="2094F46B">
            <w:pPr>
              <w:pStyle w:val="1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要求提供以下证明材料：</w:t>
            </w:r>
          </w:p>
          <w:p w14:paraId="0035861C">
            <w:pPr>
              <w:pStyle w:val="1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1.认证证书均需在有效期内。</w:t>
            </w:r>
          </w:p>
          <w:p w14:paraId="09FE79DC">
            <w:pPr>
              <w:pStyle w:val="1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2.提供在有效期内的相关证明文件扫描件（加盖公章）及国家认监委网站【全国认证认可信息公共服务平台（http://cx.cnca.cn/CertECloud/index/index/page）】认证信息查询截图（截图需显示证书状态为有效且加盖公章）</w:t>
            </w:r>
          </w:p>
          <w:p w14:paraId="0D4B1506">
            <w:pPr>
              <w:pStyle w:val="5"/>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jc w:val="both"/>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3.未提供完全或提供的资料无法判断是否有效的均不得分。</w:t>
            </w:r>
          </w:p>
        </w:tc>
      </w:tr>
      <w:tr w14:paraId="2ED07A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9" w:hRule="atLeast"/>
          <w:jc w:val="center"/>
        </w:trPr>
        <w:tc>
          <w:tcPr>
            <w:tcW w:w="720" w:type="dxa"/>
            <w:vMerge w:val="restart"/>
            <w:noWrap w:val="0"/>
            <w:vAlign w:val="center"/>
          </w:tcPr>
          <w:p w14:paraId="12DD2E1D">
            <w:pPr>
              <w:adjustRightInd w:val="0"/>
              <w:snapToGrid w:val="0"/>
              <w:spacing w:line="32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技术</w:t>
            </w:r>
            <w:r>
              <w:rPr>
                <w:rFonts w:hint="eastAsia" w:ascii="仿宋" w:hAnsi="仿宋" w:eastAsia="仿宋" w:cs="仿宋"/>
                <w:color w:val="auto"/>
                <w:sz w:val="24"/>
                <w:szCs w:val="24"/>
                <w:highlight w:val="none"/>
                <w:lang w:val="en-US" w:eastAsia="zh-CN"/>
              </w:rPr>
              <w:t>部分</w:t>
            </w:r>
          </w:p>
          <w:p w14:paraId="51B42B10">
            <w:pPr>
              <w:adjustRightInd w:val="0"/>
              <w:snapToGrid w:val="0"/>
              <w:spacing w:line="32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45</w:t>
            </w:r>
            <w:r>
              <w:rPr>
                <w:rFonts w:hint="eastAsia" w:ascii="仿宋" w:hAnsi="仿宋" w:eastAsia="仿宋" w:cs="仿宋"/>
                <w:color w:val="auto"/>
                <w:sz w:val="24"/>
                <w:szCs w:val="24"/>
                <w:highlight w:val="none"/>
              </w:rPr>
              <w:t>分</w:t>
            </w:r>
          </w:p>
        </w:tc>
        <w:tc>
          <w:tcPr>
            <w:tcW w:w="1188" w:type="dxa"/>
            <w:shd w:val="clear" w:color="auto" w:fill="auto"/>
            <w:noWrap w:val="0"/>
            <w:vAlign w:val="center"/>
          </w:tcPr>
          <w:p w14:paraId="751E7AC0">
            <w:pPr>
              <w:spacing w:line="32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拟安排的项目负责人情况（仅限一人）</w:t>
            </w:r>
          </w:p>
        </w:tc>
        <w:tc>
          <w:tcPr>
            <w:tcW w:w="837" w:type="dxa"/>
            <w:shd w:val="clear" w:color="auto" w:fill="auto"/>
            <w:noWrap w:val="0"/>
            <w:vAlign w:val="center"/>
          </w:tcPr>
          <w:p w14:paraId="1C153E84">
            <w:pPr>
              <w:spacing w:line="320" w:lineRule="exact"/>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15</w:t>
            </w:r>
          </w:p>
        </w:tc>
        <w:tc>
          <w:tcPr>
            <w:tcW w:w="6871" w:type="dxa"/>
            <w:shd w:val="clear" w:color="auto" w:fill="auto"/>
            <w:noWrap w:val="0"/>
            <w:vAlign w:val="center"/>
          </w:tcPr>
          <w:p w14:paraId="18296E85">
            <w:pPr>
              <w:keepNext w:val="0"/>
              <w:keepLines w:val="0"/>
              <w:pageBreakBefore w:val="0"/>
              <w:widowControl w:val="0"/>
              <w:kinsoku/>
              <w:wordWrap/>
              <w:overflowPunct/>
              <w:topLinePunct w:val="0"/>
              <w:autoSpaceDE/>
              <w:autoSpaceDN/>
              <w:bidi w:val="0"/>
              <w:adjustRightInd/>
              <w:snapToGrid/>
              <w:spacing w:line="280" w:lineRule="exact"/>
              <w:ind w:firstLine="0" w:firstLineChars="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sz w:val="24"/>
                <w:szCs w:val="24"/>
                <w:highlight w:val="none"/>
                <w:vertAlign w:val="baseline"/>
                <w:lang w:val="en-US" w:eastAsia="zh-CN"/>
              </w:rPr>
              <w:t>一、评分内容</w:t>
            </w:r>
            <w:r>
              <w:rPr>
                <w:rFonts w:hint="eastAsia" w:ascii="仿宋" w:hAnsi="仿宋" w:eastAsia="仿宋" w:cs="仿宋"/>
                <w:b/>
                <w:bCs/>
                <w:color w:val="auto"/>
                <w:sz w:val="24"/>
                <w:szCs w:val="24"/>
                <w:highlight w:val="none"/>
                <w:lang w:val="en-US" w:eastAsia="zh-CN"/>
              </w:rPr>
              <w:t>：</w:t>
            </w:r>
          </w:p>
          <w:p w14:paraId="39B90E9D">
            <w:pPr>
              <w:pStyle w:val="1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根据投标人拟安排的项目负责人具有安全资质证书、职业资格证书评分，拟安排的项目负责人需为自有员工（以社保为准）。</w:t>
            </w:r>
          </w:p>
          <w:p w14:paraId="26CA3AB5">
            <w:pPr>
              <w:pStyle w:val="1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1.具有应急管理部门或安全生产监督管理部门颁发的安全类证书，得3分；</w:t>
            </w:r>
          </w:p>
          <w:p w14:paraId="30E8405F">
            <w:pPr>
              <w:pStyle w:val="1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2.具有电池生产厂家（宁德时代）维修认证证书，得3分；</w:t>
            </w:r>
          </w:p>
          <w:p w14:paraId="78CF6AF4">
            <w:pPr>
              <w:pStyle w:val="1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3.具备应急管理部门颁发的有效期内的特种作业操作证（作业类别：电工作业，操作项目：低压电工作业），得2分；</w:t>
            </w:r>
          </w:p>
          <w:p w14:paraId="12F25E75">
            <w:pPr>
              <w:pStyle w:val="1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480" w:firstLineChars="200"/>
              <w:jc w:val="left"/>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4.具备应急管理部门颁发的有效期内的特种作业操作证（作业类别：电工作业，操作项目：高压电工作业），得2分；</w:t>
            </w:r>
          </w:p>
          <w:p w14:paraId="11CFA91B">
            <w:pPr>
              <w:pStyle w:val="1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5.具备汽车维修工（汽车修理工）高级或以上资格证书的，得5分；</w:t>
            </w:r>
          </w:p>
          <w:p w14:paraId="0E3B791B">
            <w:pPr>
              <w:pStyle w:val="1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本项内容，最高得15分。</w:t>
            </w:r>
          </w:p>
          <w:p w14:paraId="7FB4E714">
            <w:pPr>
              <w:pStyle w:val="1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6.拟派项目负责人要求提供投标人为其缴纳的连续3个月的社保缴交记录，未提供或提供资料不全者1-5项不得分。</w:t>
            </w:r>
          </w:p>
          <w:p w14:paraId="1CF1F9A1">
            <w:pPr>
              <w:pStyle w:val="12"/>
              <w:keepNext w:val="0"/>
              <w:keepLines w:val="0"/>
              <w:pageBreakBefore w:val="0"/>
              <w:widowControl w:val="0"/>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right="0" w:rightChars="0"/>
              <w:jc w:val="left"/>
              <w:textAlignment w:val="auto"/>
              <w:rPr>
                <w:rFonts w:hint="eastAsia" w:ascii="仿宋" w:hAnsi="仿宋" w:eastAsia="仿宋" w:cs="仿宋"/>
                <w:color w:val="auto"/>
                <w:sz w:val="24"/>
                <w:szCs w:val="24"/>
                <w:highlight w:val="none"/>
              </w:rPr>
            </w:pPr>
            <w:r>
              <w:rPr>
                <w:rFonts w:hint="eastAsia" w:ascii="仿宋" w:hAnsi="仿宋" w:eastAsia="仿宋" w:cs="仿宋"/>
                <w:b/>
                <w:bCs/>
                <w:kern w:val="2"/>
                <w:sz w:val="24"/>
                <w:szCs w:val="24"/>
                <w:highlight w:val="none"/>
                <w:vertAlign w:val="baseline"/>
                <w:lang w:val="en-US" w:eastAsia="zh-CN" w:bidi="ar-SA"/>
              </w:rPr>
              <w:t>二、</w:t>
            </w:r>
            <w:r>
              <w:rPr>
                <w:rFonts w:hint="eastAsia" w:ascii="仿宋" w:hAnsi="仿宋" w:eastAsia="仿宋" w:cs="仿宋"/>
                <w:b/>
                <w:bCs/>
                <w:sz w:val="24"/>
                <w:szCs w:val="24"/>
                <w:highlight w:val="none"/>
                <w:vertAlign w:val="baseline"/>
                <w:lang w:val="en-US" w:eastAsia="zh-CN"/>
              </w:rPr>
              <w:t>评分依据</w:t>
            </w:r>
            <w:r>
              <w:rPr>
                <w:rFonts w:hint="eastAsia" w:ascii="仿宋" w:hAnsi="仿宋" w:eastAsia="仿宋" w:cs="仿宋"/>
                <w:b/>
                <w:color w:val="auto"/>
                <w:sz w:val="24"/>
                <w:szCs w:val="24"/>
                <w:highlight w:val="none"/>
              </w:rPr>
              <w:t>：</w:t>
            </w:r>
          </w:p>
          <w:p w14:paraId="6D9ECA81">
            <w:pPr>
              <w:keepNext w:val="0"/>
              <w:keepLines w:val="0"/>
              <w:pageBreakBefore w:val="0"/>
              <w:widowControl w:val="0"/>
              <w:kinsoku/>
              <w:wordWrap/>
              <w:overflowPunct/>
              <w:topLinePunct w:val="0"/>
              <w:autoSpaceDE/>
              <w:autoSpaceDN/>
              <w:bidi w:val="0"/>
              <w:adjustRightInd/>
              <w:snapToGrid/>
              <w:spacing w:line="280" w:lineRule="exact"/>
              <w:ind w:firstLine="480" w:firstLineChars="200"/>
              <w:jc w:val="both"/>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1.拟安排的项目负责人需为投标人自有员工，提供相关人员开标日前由投标人为其缴交的载有政府部门公章的近3个月社保缴交证明材料，如开标日上一个月的社保材料因政府部门原因暂时无法取得，则可以往前顺延一个月；社保资料必须至少显示缴交医疗保险信息，未显示该信息的该社保资料则不符合要求，原件备查。</w:t>
            </w:r>
          </w:p>
          <w:p w14:paraId="45E15883">
            <w:pPr>
              <w:keepNext w:val="0"/>
              <w:keepLines w:val="0"/>
              <w:pageBreakBefore w:val="0"/>
              <w:widowControl w:val="0"/>
              <w:kinsoku/>
              <w:wordWrap/>
              <w:overflowPunct/>
              <w:topLinePunct w:val="0"/>
              <w:autoSpaceDE/>
              <w:autoSpaceDN/>
              <w:bidi w:val="0"/>
              <w:adjustRightInd/>
              <w:snapToGrid/>
              <w:spacing w:line="280" w:lineRule="exact"/>
              <w:ind w:firstLine="480" w:firstLineChars="200"/>
              <w:jc w:val="both"/>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2.特种作业操作证书需提供证书复印件及在“中华人民共和国应急管理部https://cx.mem.gov.cn/”的网站查询截图，截图需包含网址；</w:t>
            </w:r>
          </w:p>
          <w:p w14:paraId="365E26B1">
            <w:pPr>
              <w:keepNext w:val="0"/>
              <w:keepLines w:val="0"/>
              <w:pageBreakBefore w:val="0"/>
              <w:widowControl w:val="0"/>
              <w:kinsoku/>
              <w:wordWrap/>
              <w:overflowPunct/>
              <w:topLinePunct w:val="0"/>
              <w:autoSpaceDE/>
              <w:autoSpaceDN/>
              <w:bidi w:val="0"/>
              <w:adjustRightInd/>
              <w:snapToGrid/>
              <w:spacing w:line="280" w:lineRule="exact"/>
              <w:ind w:firstLine="480" w:firstLineChars="200"/>
              <w:jc w:val="both"/>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3.投标人未提供证明资料或专家无法凭所提供资料判断是否得分的情况，一律作不得分处理</w:t>
            </w:r>
          </w:p>
        </w:tc>
      </w:tr>
      <w:tr w14:paraId="1B8C02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9" w:hRule="atLeast"/>
          <w:jc w:val="center"/>
        </w:trPr>
        <w:tc>
          <w:tcPr>
            <w:tcW w:w="720" w:type="dxa"/>
            <w:vMerge w:val="continue"/>
            <w:noWrap w:val="0"/>
            <w:vAlign w:val="center"/>
          </w:tcPr>
          <w:p w14:paraId="070AC918">
            <w:pPr>
              <w:adjustRightInd w:val="0"/>
              <w:snapToGrid w:val="0"/>
              <w:spacing w:line="320" w:lineRule="exact"/>
              <w:jc w:val="center"/>
              <w:rPr>
                <w:rFonts w:hint="eastAsia" w:ascii="仿宋" w:hAnsi="仿宋" w:eastAsia="仿宋" w:cs="仿宋"/>
                <w:color w:val="auto"/>
                <w:sz w:val="24"/>
                <w:szCs w:val="24"/>
                <w:highlight w:val="none"/>
                <w:lang w:val="en-US" w:eastAsia="zh-CN"/>
              </w:rPr>
            </w:pPr>
          </w:p>
        </w:tc>
        <w:tc>
          <w:tcPr>
            <w:tcW w:w="1188" w:type="dxa"/>
            <w:shd w:val="clear" w:color="auto" w:fill="auto"/>
            <w:noWrap w:val="0"/>
            <w:vAlign w:val="center"/>
          </w:tcPr>
          <w:p w14:paraId="51ABEF6E">
            <w:pPr>
              <w:spacing w:line="32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拟安排的团队成员维修技术人员情况</w:t>
            </w:r>
          </w:p>
        </w:tc>
        <w:tc>
          <w:tcPr>
            <w:tcW w:w="837" w:type="dxa"/>
            <w:shd w:val="clear" w:color="auto" w:fill="auto"/>
            <w:noWrap w:val="0"/>
            <w:vAlign w:val="center"/>
          </w:tcPr>
          <w:p w14:paraId="6C980DD4">
            <w:pPr>
              <w:spacing w:line="320" w:lineRule="exact"/>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12</w:t>
            </w:r>
          </w:p>
        </w:tc>
        <w:tc>
          <w:tcPr>
            <w:tcW w:w="6871" w:type="dxa"/>
            <w:shd w:val="clear" w:color="auto" w:fill="auto"/>
            <w:noWrap w:val="0"/>
            <w:vAlign w:val="center"/>
          </w:tcPr>
          <w:p w14:paraId="546F1F82">
            <w:pPr>
              <w:keepNext w:val="0"/>
              <w:keepLines w:val="0"/>
              <w:pageBreakBefore w:val="0"/>
              <w:widowControl w:val="0"/>
              <w:kinsoku/>
              <w:wordWrap/>
              <w:overflowPunct/>
              <w:topLinePunct w:val="0"/>
              <w:autoSpaceDE/>
              <w:autoSpaceDN/>
              <w:bidi w:val="0"/>
              <w:adjustRightInd/>
              <w:snapToGrid/>
              <w:spacing w:line="280" w:lineRule="exact"/>
              <w:ind w:firstLine="0" w:firstLineChars="0"/>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bCs/>
                <w:sz w:val="24"/>
                <w:szCs w:val="24"/>
                <w:highlight w:val="none"/>
                <w:vertAlign w:val="baseline"/>
                <w:lang w:val="en-US" w:eastAsia="zh-CN"/>
              </w:rPr>
              <w:t>一、评分内容</w:t>
            </w:r>
            <w:r>
              <w:rPr>
                <w:rFonts w:hint="eastAsia" w:ascii="仿宋" w:hAnsi="仿宋" w:eastAsia="仿宋" w:cs="仿宋"/>
                <w:b/>
                <w:bCs/>
                <w:color w:val="auto"/>
                <w:sz w:val="24"/>
                <w:szCs w:val="24"/>
                <w:highlight w:val="none"/>
                <w:lang w:val="en-US" w:eastAsia="zh-CN"/>
              </w:rPr>
              <w:t>：</w:t>
            </w:r>
          </w:p>
          <w:p w14:paraId="54A98B44">
            <w:pPr>
              <w:keepNext w:val="0"/>
              <w:keepLines w:val="0"/>
              <w:pageBreakBefore w:val="0"/>
              <w:widowControl w:val="0"/>
              <w:kinsoku/>
              <w:wordWrap/>
              <w:overflowPunct/>
              <w:topLinePunct w:val="0"/>
              <w:autoSpaceDE/>
              <w:autoSpaceDN/>
              <w:bidi w:val="0"/>
              <w:adjustRightInd/>
              <w:snapToGrid/>
              <w:spacing w:line="280" w:lineRule="exact"/>
              <w:ind w:firstLine="480" w:firstLineChars="200"/>
              <w:jc w:val="both"/>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拟安排的团队成员维修技术人员需为自有员工（以社保为准）：</w:t>
            </w:r>
          </w:p>
          <w:p w14:paraId="465A065B">
            <w:pPr>
              <w:keepNext w:val="0"/>
              <w:keepLines w:val="0"/>
              <w:pageBreakBefore w:val="0"/>
              <w:widowControl w:val="0"/>
              <w:numPr>
                <w:ilvl w:val="0"/>
                <w:numId w:val="1"/>
              </w:numPr>
              <w:kinsoku/>
              <w:wordWrap/>
              <w:overflowPunct/>
              <w:topLinePunct w:val="0"/>
              <w:autoSpaceDE/>
              <w:autoSpaceDN/>
              <w:bidi w:val="0"/>
              <w:adjustRightInd/>
              <w:snapToGrid/>
              <w:spacing w:line="280" w:lineRule="exact"/>
              <w:ind w:firstLine="480" w:firstLineChars="200"/>
              <w:jc w:val="both"/>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具有电池生产厂家（宁德时代）维修认证证书，且同时具备应急管理部门颁发的特种作业操作证（作业类别：电工作业，操作项目：低压电工作业），每提供1名得2分，最高得4分；</w:t>
            </w:r>
          </w:p>
          <w:p w14:paraId="630DDE56">
            <w:pPr>
              <w:keepNext w:val="0"/>
              <w:keepLines w:val="0"/>
              <w:pageBreakBefore w:val="0"/>
              <w:widowControl w:val="0"/>
              <w:kinsoku/>
              <w:wordWrap/>
              <w:overflowPunct/>
              <w:topLinePunct w:val="0"/>
              <w:autoSpaceDE/>
              <w:autoSpaceDN/>
              <w:bidi w:val="0"/>
              <w:adjustRightInd/>
              <w:snapToGrid/>
              <w:spacing w:line="280" w:lineRule="exact"/>
              <w:ind w:firstLine="480" w:firstLineChars="200"/>
              <w:jc w:val="both"/>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2.具有电池生产厂家（宁德时代）维修认证证书，且同时具备应急管理部门颁发的特种作业操作证（作业类别：电工作业，操作项目：高压电工作业），每提供1名得2分，最高得4分；</w:t>
            </w:r>
          </w:p>
          <w:p w14:paraId="0CBE730F">
            <w:pPr>
              <w:keepNext w:val="0"/>
              <w:keepLines w:val="0"/>
              <w:pageBreakBefore w:val="0"/>
              <w:widowControl w:val="0"/>
              <w:kinsoku/>
              <w:wordWrap/>
              <w:overflowPunct/>
              <w:topLinePunct w:val="0"/>
              <w:autoSpaceDE/>
              <w:autoSpaceDN/>
              <w:bidi w:val="0"/>
              <w:adjustRightInd/>
              <w:snapToGrid/>
              <w:spacing w:line="280" w:lineRule="exact"/>
              <w:ind w:firstLine="480" w:firstLineChars="200"/>
              <w:jc w:val="both"/>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3.具有电池生产厂家（宁德时代）维修认证证书，且同时具备汽车维修高级或以上证书，每提供1名得2分，最高得4</w:t>
            </w:r>
            <w:bookmarkStart w:id="0" w:name="_GoBack"/>
            <w:bookmarkEnd w:id="0"/>
            <w:r>
              <w:rPr>
                <w:rFonts w:hint="eastAsia" w:ascii="仿宋" w:hAnsi="仿宋" w:eastAsia="仿宋" w:cs="仿宋"/>
                <w:b w:val="0"/>
                <w:bCs w:val="0"/>
                <w:color w:val="auto"/>
                <w:kern w:val="2"/>
                <w:sz w:val="24"/>
                <w:szCs w:val="24"/>
                <w:highlight w:val="none"/>
                <w:lang w:val="en-US" w:eastAsia="zh-CN" w:bidi="ar-SA"/>
              </w:rPr>
              <w:t>分；</w:t>
            </w:r>
          </w:p>
          <w:p w14:paraId="1C168DA3">
            <w:pPr>
              <w:keepNext w:val="0"/>
              <w:keepLines w:val="0"/>
              <w:pageBreakBefore w:val="0"/>
              <w:widowControl w:val="0"/>
              <w:kinsoku/>
              <w:wordWrap/>
              <w:overflowPunct/>
              <w:topLinePunct w:val="0"/>
              <w:autoSpaceDE/>
              <w:autoSpaceDN/>
              <w:bidi w:val="0"/>
              <w:adjustRightInd/>
              <w:snapToGrid/>
              <w:spacing w:line="280" w:lineRule="exact"/>
              <w:ind w:firstLine="480" w:firstLineChars="200"/>
              <w:jc w:val="both"/>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一人有多项资格证书的，可以重复计分。以上三项，最高得12分。</w:t>
            </w:r>
          </w:p>
          <w:p w14:paraId="0D675307">
            <w:pPr>
              <w:pStyle w:val="12"/>
              <w:keepNext w:val="0"/>
              <w:keepLines w:val="0"/>
              <w:pageBreakBefore w:val="0"/>
              <w:widowControl w:val="0"/>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right="0" w:rightChars="0"/>
              <w:jc w:val="left"/>
              <w:textAlignment w:val="auto"/>
              <w:rPr>
                <w:rFonts w:hint="eastAsia"/>
                <w:lang w:val="en-US" w:eastAsia="zh-CN"/>
              </w:rPr>
            </w:pPr>
            <w:r>
              <w:rPr>
                <w:rFonts w:hint="eastAsia" w:ascii="仿宋" w:hAnsi="仿宋" w:eastAsia="仿宋" w:cs="仿宋"/>
                <w:b/>
                <w:bCs/>
                <w:kern w:val="2"/>
                <w:sz w:val="24"/>
                <w:szCs w:val="24"/>
                <w:highlight w:val="none"/>
                <w:vertAlign w:val="baseline"/>
                <w:lang w:val="en-US" w:eastAsia="zh-CN" w:bidi="ar-SA"/>
              </w:rPr>
              <w:t>二、</w:t>
            </w:r>
            <w:r>
              <w:rPr>
                <w:rFonts w:hint="eastAsia" w:ascii="仿宋" w:hAnsi="仿宋" w:eastAsia="仿宋" w:cs="仿宋"/>
                <w:b/>
                <w:bCs/>
                <w:sz w:val="24"/>
                <w:szCs w:val="24"/>
                <w:highlight w:val="none"/>
                <w:vertAlign w:val="baseline"/>
                <w:lang w:val="en-US" w:eastAsia="zh-CN"/>
              </w:rPr>
              <w:t>评分依据</w:t>
            </w:r>
            <w:r>
              <w:rPr>
                <w:rFonts w:hint="eastAsia" w:ascii="仿宋" w:hAnsi="仿宋" w:eastAsia="仿宋" w:cs="仿宋"/>
                <w:b/>
                <w:color w:val="auto"/>
                <w:sz w:val="24"/>
                <w:szCs w:val="24"/>
                <w:highlight w:val="none"/>
              </w:rPr>
              <w:t>：</w:t>
            </w:r>
          </w:p>
          <w:p w14:paraId="7C0BF6EC">
            <w:pPr>
              <w:keepNext w:val="0"/>
              <w:keepLines w:val="0"/>
              <w:pageBreakBefore w:val="0"/>
              <w:widowControl w:val="0"/>
              <w:kinsoku/>
              <w:wordWrap/>
              <w:overflowPunct/>
              <w:topLinePunct w:val="0"/>
              <w:autoSpaceDE/>
              <w:autoSpaceDN/>
              <w:bidi w:val="0"/>
              <w:adjustRightInd/>
              <w:snapToGrid/>
              <w:spacing w:line="280" w:lineRule="exact"/>
              <w:ind w:firstLine="480" w:firstLineChars="200"/>
              <w:jc w:val="both"/>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1.维修技术人员必须为投标人自有员工，提供相关人员开标日前由投标人为其缴交的载有政府部门公章的近3月社保缴交证明材料，如开标日上一个月的社保材料因政府部门原因暂时无法取得，则可以往前顺延一个月；社保资料必须至少显示缴交医疗保险信息，未显示该信息的该社保资料则不符合要求，原件备查。</w:t>
            </w:r>
          </w:p>
          <w:p w14:paraId="2DEA0F05">
            <w:pPr>
              <w:keepNext w:val="0"/>
              <w:keepLines w:val="0"/>
              <w:pageBreakBefore w:val="0"/>
              <w:widowControl w:val="0"/>
              <w:kinsoku/>
              <w:wordWrap/>
              <w:overflowPunct/>
              <w:topLinePunct w:val="0"/>
              <w:autoSpaceDE/>
              <w:autoSpaceDN/>
              <w:bidi w:val="0"/>
              <w:adjustRightInd/>
              <w:snapToGrid/>
              <w:spacing w:line="280" w:lineRule="exact"/>
              <w:ind w:firstLine="480" w:firstLineChars="200"/>
              <w:jc w:val="both"/>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2.电池生产厂家（宁德时代）维修认证证书应在有效期内，否则不得分。</w:t>
            </w:r>
          </w:p>
          <w:p w14:paraId="4C0D6F5F">
            <w:pPr>
              <w:keepNext w:val="0"/>
              <w:keepLines w:val="0"/>
              <w:pageBreakBefore w:val="0"/>
              <w:widowControl w:val="0"/>
              <w:kinsoku/>
              <w:wordWrap/>
              <w:overflowPunct/>
              <w:topLinePunct w:val="0"/>
              <w:autoSpaceDE/>
              <w:autoSpaceDN/>
              <w:bidi w:val="0"/>
              <w:adjustRightInd/>
              <w:snapToGrid/>
              <w:spacing w:line="280" w:lineRule="exact"/>
              <w:ind w:firstLine="480" w:firstLineChars="200"/>
              <w:jc w:val="both"/>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3.特种作业操作证书需提供证书复印件及在“中华人民共和国应急管理部https://cx.mem.gov.cn/”的网站查询截图，截图需包含网址。</w:t>
            </w:r>
          </w:p>
          <w:p w14:paraId="6CE1833C">
            <w:pPr>
              <w:keepNext w:val="0"/>
              <w:keepLines w:val="0"/>
              <w:pageBreakBefore w:val="0"/>
              <w:widowControl w:val="0"/>
              <w:kinsoku/>
              <w:wordWrap/>
              <w:overflowPunct/>
              <w:topLinePunct w:val="0"/>
              <w:autoSpaceDE/>
              <w:autoSpaceDN/>
              <w:bidi w:val="0"/>
              <w:adjustRightInd/>
              <w:snapToGrid/>
              <w:spacing w:line="280" w:lineRule="exact"/>
              <w:ind w:firstLine="480" w:firstLineChars="200"/>
              <w:jc w:val="both"/>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4.未提供或未按要求提供或提供的不清晰导致专家无法判断的，不得分。</w:t>
            </w:r>
          </w:p>
        </w:tc>
      </w:tr>
      <w:tr w14:paraId="6694D7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20" w:type="dxa"/>
            <w:vMerge w:val="continue"/>
            <w:noWrap w:val="0"/>
            <w:vAlign w:val="center"/>
          </w:tcPr>
          <w:p w14:paraId="24E765FC">
            <w:pPr>
              <w:adjustRightInd w:val="0"/>
              <w:snapToGrid w:val="0"/>
              <w:spacing w:line="320" w:lineRule="exact"/>
              <w:jc w:val="center"/>
              <w:rPr>
                <w:rFonts w:hint="eastAsia" w:ascii="仿宋" w:hAnsi="仿宋" w:eastAsia="仿宋" w:cs="仿宋"/>
                <w:color w:val="auto"/>
                <w:sz w:val="24"/>
                <w:szCs w:val="24"/>
                <w:highlight w:val="none"/>
              </w:rPr>
            </w:pPr>
          </w:p>
        </w:tc>
        <w:tc>
          <w:tcPr>
            <w:tcW w:w="1188" w:type="dxa"/>
            <w:tcBorders>
              <w:bottom w:val="single" w:color="auto" w:sz="4" w:space="0"/>
            </w:tcBorders>
            <w:noWrap w:val="0"/>
            <w:vAlign w:val="center"/>
          </w:tcPr>
          <w:p w14:paraId="7E136513">
            <w:pPr>
              <w:adjustRightInd w:val="0"/>
              <w:snapToGrid w:val="0"/>
              <w:spacing w:line="32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维修服务方案</w:t>
            </w:r>
          </w:p>
        </w:tc>
        <w:tc>
          <w:tcPr>
            <w:tcW w:w="837" w:type="dxa"/>
            <w:noWrap w:val="0"/>
            <w:vAlign w:val="center"/>
          </w:tcPr>
          <w:p w14:paraId="48D1759B">
            <w:pPr>
              <w:widowControl/>
              <w:adjustRightInd w:val="0"/>
              <w:snapToGrid w:val="0"/>
              <w:spacing w:line="320" w:lineRule="exact"/>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w:t>
            </w:r>
          </w:p>
        </w:tc>
        <w:tc>
          <w:tcPr>
            <w:tcW w:w="6871" w:type="dxa"/>
            <w:noWrap w:val="0"/>
            <w:vAlign w:val="center"/>
          </w:tcPr>
          <w:p w14:paraId="00FB6AAB">
            <w:pPr>
              <w:spacing w:line="320" w:lineRule="exact"/>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bCs/>
                <w:sz w:val="24"/>
                <w:szCs w:val="24"/>
                <w:highlight w:val="none"/>
                <w:vertAlign w:val="baseline"/>
                <w:lang w:val="en-US" w:eastAsia="zh-CN"/>
              </w:rPr>
              <w:t>一、评分内容</w:t>
            </w:r>
            <w:r>
              <w:rPr>
                <w:rFonts w:hint="eastAsia" w:ascii="仿宋" w:hAnsi="仿宋" w:eastAsia="仿宋" w:cs="仿宋"/>
                <w:b w:val="0"/>
                <w:bCs w:val="0"/>
                <w:color w:val="auto"/>
                <w:kern w:val="2"/>
                <w:sz w:val="24"/>
                <w:szCs w:val="24"/>
                <w:highlight w:val="none"/>
                <w:lang w:val="en-US" w:eastAsia="zh-CN" w:bidi="ar-SA"/>
              </w:rPr>
              <w:t>：</w:t>
            </w:r>
          </w:p>
          <w:p w14:paraId="43C35AFA">
            <w:pPr>
              <w:pStyle w:val="5"/>
              <w:keepNext w:val="0"/>
              <w:keepLines w:val="0"/>
              <w:pageBreakBefore w:val="0"/>
              <w:widowControl w:val="0"/>
              <w:kinsoku/>
              <w:wordWrap/>
              <w:overflowPunct/>
              <w:topLinePunct w:val="0"/>
              <w:autoSpaceDE/>
              <w:autoSpaceDN/>
              <w:bidi w:val="0"/>
              <w:adjustRightInd/>
              <w:snapToGrid/>
              <w:spacing w:line="300" w:lineRule="exact"/>
              <w:ind w:firstLine="480" w:firstLineChars="200"/>
              <w:jc w:val="both"/>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1.投标人提供车辆维修方案，包括以下内容的，每包括一项得1分，最高得5分：</w:t>
            </w:r>
          </w:p>
          <w:p w14:paraId="1A76CDBA">
            <w:pPr>
              <w:keepNext w:val="0"/>
              <w:keepLines w:val="0"/>
              <w:pageBreakBefore w:val="0"/>
              <w:widowControl/>
              <w:suppressLineNumbers w:val="0"/>
              <w:kinsoku/>
              <w:wordWrap/>
              <w:overflowPunct w:val="0"/>
              <w:topLinePunct w:val="0"/>
              <w:autoSpaceDE/>
              <w:autoSpaceDN/>
              <w:bidi w:val="0"/>
              <w:adjustRightInd w:val="0"/>
              <w:snapToGrid w:val="0"/>
              <w:spacing w:before="0" w:beforeAutospacing="0" w:afterAutospacing="0" w:line="360" w:lineRule="exact"/>
              <w:ind w:left="0" w:right="0" w:firstLine="480" w:firstLineChars="200"/>
              <w:jc w:val="left"/>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（1）安全生产管理；</w:t>
            </w:r>
          </w:p>
          <w:p w14:paraId="33D27A1B">
            <w:pPr>
              <w:keepNext w:val="0"/>
              <w:keepLines w:val="0"/>
              <w:pageBreakBefore w:val="0"/>
              <w:widowControl/>
              <w:suppressLineNumbers w:val="0"/>
              <w:kinsoku/>
              <w:wordWrap/>
              <w:overflowPunct w:val="0"/>
              <w:topLinePunct w:val="0"/>
              <w:autoSpaceDE/>
              <w:autoSpaceDN/>
              <w:bidi w:val="0"/>
              <w:adjustRightInd w:val="0"/>
              <w:snapToGrid w:val="0"/>
              <w:spacing w:before="0" w:beforeAutospacing="0" w:afterAutospacing="0" w:line="360" w:lineRule="exact"/>
              <w:ind w:left="0" w:right="0" w:firstLine="480" w:firstLineChars="200"/>
              <w:jc w:val="left"/>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（2）服务流程规范；</w:t>
            </w:r>
          </w:p>
          <w:p w14:paraId="1ADECF65">
            <w:pPr>
              <w:keepNext w:val="0"/>
              <w:keepLines w:val="0"/>
              <w:pageBreakBefore w:val="0"/>
              <w:widowControl/>
              <w:suppressLineNumbers w:val="0"/>
              <w:kinsoku/>
              <w:wordWrap/>
              <w:overflowPunct w:val="0"/>
              <w:topLinePunct w:val="0"/>
              <w:autoSpaceDE/>
              <w:autoSpaceDN/>
              <w:bidi w:val="0"/>
              <w:adjustRightInd w:val="0"/>
              <w:snapToGrid w:val="0"/>
              <w:spacing w:before="0" w:beforeAutospacing="0" w:afterAutospacing="0" w:line="360" w:lineRule="exact"/>
              <w:ind w:left="0" w:right="0" w:firstLine="480" w:firstLineChars="200"/>
              <w:jc w:val="left"/>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（3）质量检验措施；</w:t>
            </w:r>
          </w:p>
          <w:p w14:paraId="09B9ACBE">
            <w:pPr>
              <w:keepNext w:val="0"/>
              <w:keepLines w:val="0"/>
              <w:pageBreakBefore w:val="0"/>
              <w:widowControl/>
              <w:suppressLineNumbers w:val="0"/>
              <w:kinsoku/>
              <w:wordWrap/>
              <w:overflowPunct w:val="0"/>
              <w:topLinePunct w:val="0"/>
              <w:autoSpaceDE/>
              <w:autoSpaceDN/>
              <w:bidi w:val="0"/>
              <w:adjustRightInd w:val="0"/>
              <w:snapToGrid w:val="0"/>
              <w:spacing w:before="0" w:beforeAutospacing="0" w:afterAutospacing="0" w:line="360" w:lineRule="exact"/>
              <w:ind w:left="0" w:right="0" w:firstLine="480" w:firstLineChars="200"/>
              <w:jc w:val="left"/>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（4）车辆档案管理；</w:t>
            </w:r>
          </w:p>
          <w:p w14:paraId="0A282009">
            <w:pPr>
              <w:pStyle w:val="12"/>
              <w:keepNext w:val="0"/>
              <w:keepLines w:val="0"/>
              <w:pageBreakBefore w:val="0"/>
              <w:widowControl/>
              <w:suppressLineNumbers w:val="0"/>
              <w:kinsoku/>
              <w:wordWrap/>
              <w:topLinePunct w:val="0"/>
              <w:autoSpaceDE/>
              <w:autoSpaceDN/>
              <w:bidi w:val="0"/>
              <w:spacing w:before="0" w:beforeAutospacing="0" w:after="0" w:afterAutospacing="0" w:line="360" w:lineRule="exact"/>
              <w:ind w:left="0" w:leftChars="0" w:right="0" w:firstLine="480" w:firstLineChars="200"/>
              <w:jc w:val="left"/>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（5）应急处理措施。</w:t>
            </w:r>
          </w:p>
          <w:p w14:paraId="7E8276B2">
            <w:pPr>
              <w:pStyle w:val="5"/>
              <w:keepNext w:val="0"/>
              <w:keepLines w:val="0"/>
              <w:pageBreakBefore w:val="0"/>
              <w:widowControl w:val="0"/>
              <w:kinsoku/>
              <w:wordWrap/>
              <w:overflowPunct/>
              <w:topLinePunct w:val="0"/>
              <w:autoSpaceDE/>
              <w:autoSpaceDN/>
              <w:bidi w:val="0"/>
              <w:adjustRightInd/>
              <w:snapToGrid/>
              <w:spacing w:line="300" w:lineRule="exact"/>
              <w:ind w:firstLine="480" w:firstLineChars="200"/>
              <w:jc w:val="both"/>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2.在此基础上，评委针对各投标人提供的维修服务方案进行进阶评审，本小项满分5分：</w:t>
            </w:r>
          </w:p>
          <w:p w14:paraId="4929445D">
            <w:pPr>
              <w:keepNext w:val="0"/>
              <w:keepLines w:val="0"/>
              <w:pageBreakBefore w:val="0"/>
              <w:widowControl/>
              <w:suppressLineNumbers w:val="0"/>
              <w:kinsoku/>
              <w:wordWrap/>
              <w:overflowPunct w:val="0"/>
              <w:topLinePunct w:val="0"/>
              <w:autoSpaceDE/>
              <w:autoSpaceDN/>
              <w:bidi w:val="0"/>
              <w:adjustRightInd w:val="0"/>
              <w:snapToGrid w:val="0"/>
              <w:spacing w:before="0" w:beforeAutospacing="0" w:afterAutospacing="0" w:line="360" w:lineRule="exact"/>
              <w:ind w:left="0" w:right="0" w:firstLine="480" w:firstLineChars="200"/>
              <w:jc w:val="left"/>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1）具备完善的安全生产管理制度和业务流程操作规范，具备完善的检修措施，确保维修质量，且能够为招标人车辆提供专门的车辆维修电子化档案的，承诺正常工作时间（8:00-18:00）内在招标人项目范围内免费提供接送车服务的，承诺在招标人项目范围的指定场所内提供定人定点上门维修服务且不收取额外费用的。评价为优，得5分；</w:t>
            </w:r>
          </w:p>
          <w:p w14:paraId="35B07396">
            <w:pPr>
              <w:keepNext w:val="0"/>
              <w:keepLines w:val="0"/>
              <w:pageBreakBefore w:val="0"/>
              <w:widowControl/>
              <w:suppressLineNumbers w:val="0"/>
              <w:kinsoku/>
              <w:wordWrap/>
              <w:overflowPunct w:val="0"/>
              <w:topLinePunct w:val="0"/>
              <w:autoSpaceDE/>
              <w:autoSpaceDN/>
              <w:bidi w:val="0"/>
              <w:adjustRightInd w:val="0"/>
              <w:snapToGrid w:val="0"/>
              <w:spacing w:before="0" w:beforeAutospacing="0" w:afterAutospacing="0" w:line="360" w:lineRule="exact"/>
              <w:ind w:left="0" w:right="0" w:firstLine="480" w:firstLineChars="200"/>
              <w:jc w:val="left"/>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（2）具备比较完善的安全生产管理制度和业务流程操作规范，具备比较完善的检修措施以确保维修质量，且能够为招标人车辆提供专门的车辆维修档案的，评价为良，得3分；</w:t>
            </w:r>
          </w:p>
          <w:p w14:paraId="470D1211">
            <w:pPr>
              <w:keepNext w:val="0"/>
              <w:keepLines w:val="0"/>
              <w:pageBreakBefore w:val="0"/>
              <w:widowControl/>
              <w:suppressLineNumbers w:val="0"/>
              <w:kinsoku/>
              <w:wordWrap/>
              <w:overflowPunct w:val="0"/>
              <w:topLinePunct w:val="0"/>
              <w:autoSpaceDE/>
              <w:autoSpaceDN/>
              <w:bidi w:val="0"/>
              <w:adjustRightInd w:val="0"/>
              <w:snapToGrid w:val="0"/>
              <w:spacing w:before="0" w:beforeAutospacing="0" w:afterAutospacing="0" w:line="360" w:lineRule="exact"/>
              <w:ind w:left="0" w:right="0" w:firstLine="480" w:firstLineChars="200"/>
              <w:jc w:val="left"/>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（3）具备安全生产管理制度、业务流程操作规范和检修措施，且能够为招标人车辆提供车辆维修档案的，评价为中，得1分；</w:t>
            </w:r>
          </w:p>
          <w:p w14:paraId="526EA2B6">
            <w:pPr>
              <w:keepNext w:val="0"/>
              <w:keepLines w:val="0"/>
              <w:pageBreakBefore w:val="0"/>
              <w:widowControl/>
              <w:suppressLineNumbers w:val="0"/>
              <w:kinsoku/>
              <w:wordWrap/>
              <w:overflowPunct w:val="0"/>
              <w:topLinePunct w:val="0"/>
              <w:autoSpaceDE/>
              <w:autoSpaceDN/>
              <w:bidi w:val="0"/>
              <w:adjustRightInd w:val="0"/>
              <w:snapToGrid w:val="0"/>
              <w:spacing w:before="0" w:beforeAutospacing="0" w:afterAutospacing="0" w:line="360" w:lineRule="exact"/>
              <w:ind w:left="0" w:right="0" w:firstLine="480" w:firstLineChars="200"/>
              <w:jc w:val="left"/>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（4）其他情况，评价为差，不得分。</w:t>
            </w:r>
          </w:p>
          <w:p w14:paraId="00FC6780">
            <w:pPr>
              <w:pStyle w:val="5"/>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kern w:val="2"/>
                <w:sz w:val="24"/>
                <w:szCs w:val="24"/>
                <w:highlight w:val="none"/>
                <w:vertAlign w:val="baseline"/>
                <w:lang w:val="en-US" w:eastAsia="zh-CN" w:bidi="ar-SA"/>
              </w:rPr>
              <w:t>二、</w:t>
            </w:r>
            <w:r>
              <w:rPr>
                <w:rFonts w:hint="eastAsia" w:ascii="仿宋" w:hAnsi="仿宋" w:eastAsia="仿宋" w:cs="仿宋"/>
                <w:b/>
                <w:bCs/>
                <w:sz w:val="24"/>
                <w:szCs w:val="24"/>
                <w:highlight w:val="none"/>
                <w:vertAlign w:val="baseline"/>
                <w:lang w:val="en-US" w:eastAsia="zh-CN"/>
              </w:rPr>
              <w:t>评分依据</w:t>
            </w:r>
            <w:r>
              <w:rPr>
                <w:rFonts w:hint="eastAsia" w:ascii="仿宋" w:hAnsi="仿宋" w:eastAsia="仿宋" w:cs="仿宋"/>
                <w:b/>
                <w:bCs/>
                <w:color w:val="auto"/>
                <w:kern w:val="2"/>
                <w:sz w:val="24"/>
                <w:szCs w:val="24"/>
                <w:highlight w:val="none"/>
                <w:lang w:val="en-US" w:eastAsia="zh-CN" w:bidi="ar-SA"/>
              </w:rPr>
              <w:t>：</w:t>
            </w:r>
          </w:p>
          <w:p w14:paraId="21398766">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投标人自拟方案，</w:t>
            </w:r>
            <w:r>
              <w:rPr>
                <w:rFonts w:hint="eastAsia" w:ascii="仿宋" w:hAnsi="仿宋" w:eastAsia="仿宋" w:cs="仿宋"/>
                <w:color w:val="auto"/>
                <w:sz w:val="24"/>
                <w:szCs w:val="24"/>
                <w:highlight w:val="none"/>
              </w:rPr>
              <w:t>未提供</w:t>
            </w:r>
            <w:r>
              <w:rPr>
                <w:rFonts w:hint="eastAsia" w:ascii="仿宋" w:hAnsi="仿宋" w:eastAsia="仿宋" w:cs="仿宋"/>
                <w:color w:val="auto"/>
                <w:sz w:val="24"/>
                <w:szCs w:val="24"/>
                <w:highlight w:val="none"/>
                <w:lang w:val="en-US" w:eastAsia="zh-CN"/>
              </w:rPr>
              <w:t>方案</w:t>
            </w:r>
            <w:r>
              <w:rPr>
                <w:rFonts w:hint="eastAsia" w:ascii="仿宋" w:hAnsi="仿宋" w:eastAsia="仿宋" w:cs="仿宋"/>
                <w:color w:val="auto"/>
                <w:sz w:val="24"/>
                <w:szCs w:val="24"/>
                <w:highlight w:val="none"/>
              </w:rPr>
              <w:t>或专家无法凭所提供资料判断是否得分的情况，一律做不得分处理。</w:t>
            </w:r>
          </w:p>
        </w:tc>
      </w:tr>
      <w:tr w14:paraId="4CE9CB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720" w:type="dxa"/>
            <w:vMerge w:val="continue"/>
            <w:noWrap w:val="0"/>
            <w:vAlign w:val="center"/>
          </w:tcPr>
          <w:p w14:paraId="17310602">
            <w:pPr>
              <w:adjustRightInd w:val="0"/>
              <w:snapToGrid w:val="0"/>
              <w:spacing w:line="320" w:lineRule="exact"/>
              <w:jc w:val="center"/>
              <w:rPr>
                <w:rFonts w:hint="eastAsia" w:ascii="仿宋" w:hAnsi="仿宋" w:eastAsia="仿宋" w:cs="仿宋"/>
                <w:color w:val="auto"/>
                <w:sz w:val="24"/>
                <w:szCs w:val="24"/>
                <w:highlight w:val="none"/>
              </w:rPr>
            </w:pPr>
          </w:p>
        </w:tc>
        <w:tc>
          <w:tcPr>
            <w:tcW w:w="1188" w:type="dxa"/>
            <w:tcBorders>
              <w:top w:val="single" w:color="auto" w:sz="4" w:space="0"/>
            </w:tcBorders>
            <w:noWrap w:val="0"/>
            <w:vAlign w:val="center"/>
          </w:tcPr>
          <w:p w14:paraId="002F8597">
            <w:pPr>
              <w:widowControl/>
              <w:spacing w:line="32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应急服务</w:t>
            </w:r>
            <w:r>
              <w:rPr>
                <w:rFonts w:hint="eastAsia" w:ascii="仿宋" w:hAnsi="仿宋" w:eastAsia="仿宋" w:cs="仿宋"/>
                <w:color w:val="auto"/>
                <w:sz w:val="24"/>
                <w:szCs w:val="24"/>
                <w:highlight w:val="none"/>
              </w:rPr>
              <w:t>承诺</w:t>
            </w:r>
          </w:p>
        </w:tc>
        <w:tc>
          <w:tcPr>
            <w:tcW w:w="837" w:type="dxa"/>
            <w:noWrap w:val="0"/>
            <w:vAlign w:val="center"/>
          </w:tcPr>
          <w:p w14:paraId="2C0AFB28">
            <w:pPr>
              <w:widowControl/>
              <w:adjustRightInd w:val="0"/>
              <w:snapToGrid w:val="0"/>
              <w:spacing w:line="320" w:lineRule="exact"/>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p>
        </w:tc>
        <w:tc>
          <w:tcPr>
            <w:tcW w:w="6871" w:type="dxa"/>
            <w:noWrap w:val="0"/>
            <w:vAlign w:val="center"/>
          </w:tcPr>
          <w:p w14:paraId="7A846A0B">
            <w:pPr>
              <w:spacing w:line="320" w:lineRule="exact"/>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bCs/>
                <w:sz w:val="24"/>
                <w:szCs w:val="24"/>
                <w:highlight w:val="none"/>
                <w:vertAlign w:val="baseline"/>
                <w:lang w:val="en-US" w:eastAsia="zh-CN"/>
              </w:rPr>
              <w:t>一、评分内容</w:t>
            </w:r>
            <w:r>
              <w:rPr>
                <w:rFonts w:hint="eastAsia" w:ascii="仿宋" w:hAnsi="仿宋" w:eastAsia="仿宋" w:cs="仿宋"/>
                <w:b w:val="0"/>
                <w:bCs w:val="0"/>
                <w:color w:val="auto"/>
                <w:kern w:val="2"/>
                <w:sz w:val="24"/>
                <w:szCs w:val="24"/>
                <w:highlight w:val="none"/>
                <w:lang w:val="en-US" w:eastAsia="zh-CN" w:bidi="ar-SA"/>
              </w:rPr>
              <w:t>：</w:t>
            </w:r>
          </w:p>
          <w:p w14:paraId="7B349B1C">
            <w:pPr>
              <w:widowControl/>
              <w:wordWrap/>
              <w:autoSpaceDE/>
              <w:autoSpaceDN/>
              <w:adjustRightInd/>
              <w:snapToGrid/>
              <w:spacing w:line="320" w:lineRule="exact"/>
              <w:ind w:firstLine="480" w:firstLineChars="200"/>
              <w:jc w:val="left"/>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投标人提供以下维修保养服务质量承诺，得4分：</w:t>
            </w:r>
          </w:p>
          <w:p w14:paraId="0C9C53D3">
            <w:pPr>
              <w:pStyle w:val="17"/>
              <w:keepNext w:val="0"/>
              <w:keepLines w:val="0"/>
              <w:pageBreakBefore w:val="0"/>
              <w:widowControl w:val="0"/>
              <w:kinsoku/>
              <w:wordWrap/>
              <w:overflowPunct/>
              <w:topLinePunct w:val="0"/>
              <w:autoSpaceDE/>
              <w:autoSpaceDN/>
              <w:bidi w:val="0"/>
              <w:adjustRightInd/>
              <w:snapToGrid w:val="0"/>
              <w:spacing w:line="300" w:lineRule="exact"/>
              <w:ind w:firstLine="480" w:firstLineChars="200"/>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①20分钟内响应维修需求；</w:t>
            </w:r>
          </w:p>
          <w:p w14:paraId="08CF9C28">
            <w:pPr>
              <w:pStyle w:val="17"/>
              <w:keepNext w:val="0"/>
              <w:keepLines w:val="0"/>
              <w:pageBreakBefore w:val="0"/>
              <w:widowControl w:val="0"/>
              <w:kinsoku/>
              <w:wordWrap/>
              <w:overflowPunct/>
              <w:topLinePunct w:val="0"/>
              <w:autoSpaceDE/>
              <w:autoSpaceDN/>
              <w:bidi w:val="0"/>
              <w:adjustRightInd/>
              <w:snapToGrid w:val="0"/>
              <w:spacing w:line="300" w:lineRule="exact"/>
              <w:ind w:firstLine="480" w:firstLineChars="200"/>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②应急维修1小时内开展维修服务，非应急维修按约定维修。</w:t>
            </w:r>
          </w:p>
          <w:p w14:paraId="1C6FF153">
            <w:pPr>
              <w:pStyle w:val="5"/>
              <w:keepNext w:val="0"/>
              <w:keepLines w:val="0"/>
              <w:pageBreakBefore w:val="0"/>
              <w:widowControl w:val="0"/>
              <w:kinsoku/>
              <w:wordWrap/>
              <w:overflowPunct/>
              <w:topLinePunct w:val="0"/>
              <w:autoSpaceDE/>
              <w:autoSpaceDN/>
              <w:bidi w:val="0"/>
              <w:adjustRightInd/>
              <w:spacing w:line="300" w:lineRule="exact"/>
              <w:jc w:val="both"/>
              <w:textAlignment w:val="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kern w:val="2"/>
                <w:sz w:val="24"/>
                <w:szCs w:val="24"/>
                <w:highlight w:val="none"/>
                <w:vertAlign w:val="baseline"/>
                <w:lang w:val="en-US" w:eastAsia="zh-CN" w:bidi="ar-SA"/>
              </w:rPr>
              <w:t>二、</w:t>
            </w:r>
            <w:r>
              <w:rPr>
                <w:rFonts w:hint="eastAsia" w:ascii="仿宋" w:hAnsi="仿宋" w:eastAsia="仿宋" w:cs="仿宋"/>
                <w:b/>
                <w:bCs/>
                <w:sz w:val="24"/>
                <w:szCs w:val="24"/>
                <w:highlight w:val="none"/>
                <w:vertAlign w:val="baseline"/>
                <w:lang w:val="en-US" w:eastAsia="zh-CN"/>
              </w:rPr>
              <w:t>评分依据</w:t>
            </w:r>
            <w:r>
              <w:rPr>
                <w:rFonts w:hint="eastAsia" w:ascii="仿宋" w:hAnsi="仿宋" w:eastAsia="仿宋" w:cs="仿宋"/>
                <w:b/>
                <w:bCs/>
                <w:color w:val="auto"/>
                <w:kern w:val="2"/>
                <w:sz w:val="24"/>
                <w:szCs w:val="24"/>
                <w:highlight w:val="none"/>
                <w:lang w:val="en-US" w:eastAsia="zh-CN" w:bidi="ar-SA"/>
              </w:rPr>
              <w:t>：</w:t>
            </w:r>
          </w:p>
          <w:p w14:paraId="12AB3FF1">
            <w:pPr>
              <w:pStyle w:val="17"/>
              <w:keepNext w:val="0"/>
              <w:keepLines w:val="0"/>
              <w:pageBreakBefore w:val="0"/>
              <w:widowControl w:val="0"/>
              <w:kinsoku/>
              <w:wordWrap/>
              <w:overflowPunct/>
              <w:topLinePunct w:val="0"/>
              <w:autoSpaceDE/>
              <w:autoSpaceDN/>
              <w:bidi w:val="0"/>
              <w:adjustRightInd/>
              <w:snapToGrid w:val="0"/>
              <w:spacing w:line="30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b w:val="0"/>
                <w:bCs w:val="0"/>
                <w:color w:val="auto"/>
                <w:kern w:val="2"/>
                <w:sz w:val="24"/>
                <w:szCs w:val="24"/>
                <w:highlight w:val="none"/>
                <w:lang w:val="en-US" w:eastAsia="zh-CN" w:bidi="ar-SA"/>
              </w:rPr>
              <w:t>提供包含上述内容的承诺函（加盖公章）复印件，未按要求提供或承诺内容缺项或不符合要求的，不得分。</w:t>
            </w:r>
          </w:p>
        </w:tc>
      </w:tr>
      <w:tr w14:paraId="2CC5DB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720" w:type="dxa"/>
            <w:vMerge w:val="continue"/>
            <w:noWrap w:val="0"/>
            <w:vAlign w:val="center"/>
          </w:tcPr>
          <w:p w14:paraId="66C94762">
            <w:pPr>
              <w:spacing w:line="320" w:lineRule="exact"/>
              <w:jc w:val="center"/>
              <w:rPr>
                <w:rFonts w:hint="eastAsia" w:ascii="仿宋" w:hAnsi="仿宋" w:eastAsia="仿宋" w:cs="仿宋"/>
                <w:color w:val="auto"/>
                <w:sz w:val="24"/>
                <w:szCs w:val="24"/>
                <w:highlight w:val="none"/>
              </w:rPr>
            </w:pPr>
          </w:p>
        </w:tc>
        <w:tc>
          <w:tcPr>
            <w:tcW w:w="1188" w:type="dxa"/>
            <w:tcBorders>
              <w:left w:val="single" w:color="auto" w:sz="4" w:space="0"/>
            </w:tcBorders>
            <w:noWrap w:val="0"/>
            <w:vAlign w:val="center"/>
          </w:tcPr>
          <w:p w14:paraId="0DEC22EA">
            <w:pPr>
              <w:adjustRightInd w:val="0"/>
              <w:snapToGrid w:val="0"/>
              <w:spacing w:line="32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维修服务质量承诺</w:t>
            </w:r>
          </w:p>
        </w:tc>
        <w:tc>
          <w:tcPr>
            <w:tcW w:w="837" w:type="dxa"/>
            <w:noWrap w:val="0"/>
            <w:vAlign w:val="center"/>
          </w:tcPr>
          <w:p w14:paraId="5805826F">
            <w:pPr>
              <w:widowControl/>
              <w:adjustRightInd w:val="0"/>
              <w:snapToGrid w:val="0"/>
              <w:spacing w:line="320" w:lineRule="exact"/>
              <w:jc w:val="center"/>
              <w:rPr>
                <w:rFonts w:hint="default" w:ascii="仿宋" w:hAnsi="仿宋" w:eastAsia="仿宋" w:cs="仿宋"/>
                <w:caps/>
                <w:color w:val="auto"/>
                <w:kern w:val="0"/>
                <w:sz w:val="24"/>
                <w:szCs w:val="24"/>
                <w:highlight w:val="none"/>
                <w:lang w:val="en-US"/>
              </w:rPr>
            </w:pPr>
            <w:r>
              <w:rPr>
                <w:rFonts w:hint="eastAsia" w:ascii="仿宋" w:hAnsi="仿宋" w:eastAsia="仿宋" w:cs="仿宋"/>
                <w:color w:val="auto"/>
                <w:sz w:val="24"/>
                <w:szCs w:val="24"/>
                <w:highlight w:val="none"/>
                <w:lang w:val="en-US" w:eastAsia="zh-CN"/>
              </w:rPr>
              <w:t>4</w:t>
            </w:r>
          </w:p>
        </w:tc>
        <w:tc>
          <w:tcPr>
            <w:tcW w:w="6871" w:type="dxa"/>
            <w:noWrap w:val="0"/>
            <w:vAlign w:val="center"/>
          </w:tcPr>
          <w:p w14:paraId="096E03EF">
            <w:pPr>
              <w:spacing w:line="320" w:lineRule="exact"/>
              <w:ind w:firstLine="0" w:firstLineChars="0"/>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bCs/>
                <w:sz w:val="24"/>
                <w:szCs w:val="24"/>
                <w:highlight w:val="none"/>
                <w:vertAlign w:val="baseline"/>
                <w:lang w:val="en-US" w:eastAsia="zh-CN"/>
              </w:rPr>
              <w:t>一、评分内容</w:t>
            </w:r>
            <w:r>
              <w:rPr>
                <w:rFonts w:hint="eastAsia" w:ascii="仿宋" w:hAnsi="仿宋" w:eastAsia="仿宋" w:cs="仿宋"/>
                <w:b w:val="0"/>
                <w:bCs w:val="0"/>
                <w:color w:val="auto"/>
                <w:kern w:val="2"/>
                <w:sz w:val="24"/>
                <w:szCs w:val="24"/>
                <w:highlight w:val="none"/>
                <w:lang w:val="en-US" w:eastAsia="zh-CN" w:bidi="ar-SA"/>
              </w:rPr>
              <w:t>：</w:t>
            </w:r>
          </w:p>
          <w:p w14:paraId="3C14A2AA">
            <w:pPr>
              <w:widowControl/>
              <w:wordWrap/>
              <w:autoSpaceDE/>
              <w:autoSpaceDN/>
              <w:adjustRightInd/>
              <w:snapToGrid/>
              <w:spacing w:line="320" w:lineRule="exact"/>
              <w:ind w:firstLine="480" w:firstLineChars="200"/>
              <w:jc w:val="left"/>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投标人提供以下维修服务质量承诺，得4分：</w:t>
            </w:r>
          </w:p>
          <w:p w14:paraId="397CAC74">
            <w:pPr>
              <w:widowControl/>
              <w:wordWrap/>
              <w:autoSpaceDE/>
              <w:autoSpaceDN/>
              <w:adjustRightInd/>
              <w:snapToGrid/>
              <w:spacing w:line="320" w:lineRule="exact"/>
              <w:ind w:firstLine="480" w:firstLineChars="200"/>
              <w:jc w:val="left"/>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①三电类维修项目半年内再次出现相同配件引起的同类问题返修，采购人不再支付当次维修费用；</w:t>
            </w:r>
          </w:p>
          <w:p w14:paraId="7776D98F">
            <w:pPr>
              <w:widowControl/>
              <w:wordWrap/>
              <w:autoSpaceDE/>
              <w:autoSpaceDN/>
              <w:adjustRightInd/>
              <w:snapToGrid/>
              <w:spacing w:line="320" w:lineRule="exact"/>
              <w:ind w:firstLine="480" w:firstLineChars="200"/>
              <w:jc w:val="left"/>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②在同种情况下，保证提供优先维修服务。</w:t>
            </w:r>
          </w:p>
          <w:p w14:paraId="120E2809">
            <w:pPr>
              <w:pStyle w:val="5"/>
              <w:spacing w:line="320" w:lineRule="exact"/>
              <w:ind w:firstLine="0" w:firstLineChars="0"/>
              <w:jc w:val="both"/>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kern w:val="2"/>
                <w:sz w:val="24"/>
                <w:szCs w:val="24"/>
                <w:highlight w:val="none"/>
                <w:vertAlign w:val="baseline"/>
                <w:lang w:val="en-US" w:eastAsia="zh-CN" w:bidi="ar-SA"/>
              </w:rPr>
              <w:t>二、</w:t>
            </w:r>
            <w:r>
              <w:rPr>
                <w:rFonts w:hint="eastAsia" w:ascii="仿宋" w:hAnsi="仿宋" w:eastAsia="仿宋" w:cs="仿宋"/>
                <w:b/>
                <w:bCs/>
                <w:sz w:val="24"/>
                <w:szCs w:val="24"/>
                <w:highlight w:val="none"/>
                <w:vertAlign w:val="baseline"/>
                <w:lang w:val="en-US" w:eastAsia="zh-CN"/>
              </w:rPr>
              <w:t>评分依据</w:t>
            </w:r>
            <w:r>
              <w:rPr>
                <w:rFonts w:hint="eastAsia" w:ascii="仿宋" w:hAnsi="仿宋" w:eastAsia="仿宋" w:cs="仿宋"/>
                <w:b/>
                <w:bCs/>
                <w:color w:val="auto"/>
                <w:kern w:val="2"/>
                <w:sz w:val="24"/>
                <w:szCs w:val="24"/>
                <w:highlight w:val="none"/>
                <w:lang w:val="en-US" w:eastAsia="zh-CN" w:bidi="ar-SA"/>
              </w:rPr>
              <w:t>：</w:t>
            </w:r>
          </w:p>
          <w:p w14:paraId="52BE159A">
            <w:pPr>
              <w:pStyle w:val="17"/>
              <w:snapToGrid w:val="0"/>
              <w:spacing w:line="320" w:lineRule="exact"/>
              <w:ind w:firstLine="480" w:firstLineChars="200"/>
              <w:rPr>
                <w:rFonts w:hint="eastAsia" w:ascii="仿宋" w:hAnsi="仿宋" w:eastAsia="仿宋" w:cs="仿宋"/>
                <w:caps/>
                <w:color w:val="auto"/>
                <w:kern w:val="0"/>
                <w:sz w:val="24"/>
                <w:szCs w:val="24"/>
                <w:highlight w:val="none"/>
                <w:lang w:val="en-US"/>
              </w:rPr>
            </w:pPr>
            <w:r>
              <w:rPr>
                <w:rFonts w:hint="eastAsia" w:ascii="仿宋" w:hAnsi="仿宋" w:eastAsia="仿宋" w:cs="仿宋"/>
                <w:b w:val="0"/>
                <w:bCs w:val="0"/>
                <w:color w:val="auto"/>
                <w:kern w:val="2"/>
                <w:sz w:val="24"/>
                <w:szCs w:val="24"/>
                <w:highlight w:val="none"/>
                <w:lang w:val="en-US" w:eastAsia="zh-CN" w:bidi="ar-SA"/>
              </w:rPr>
              <w:t>提供包含上述内容的承诺函（加盖公章）复印件，未按要求提供或承诺内容缺项或不符合要求的，不得分。</w:t>
            </w:r>
          </w:p>
        </w:tc>
      </w:tr>
    </w:tbl>
    <w:p w14:paraId="56512232">
      <w:pPr>
        <w:rPr>
          <w:color w:val="auto"/>
        </w:rPr>
      </w:pPr>
      <w:r>
        <w:rPr>
          <w:color w:val="auto"/>
        </w:rPr>
        <w:br w:type="page"/>
      </w:r>
    </w:p>
    <w:p w14:paraId="5D45B30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三、投标文件组成要求</w:t>
      </w:r>
    </w:p>
    <w:p w14:paraId="55EEB1D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资信技术标</w:t>
      </w:r>
    </w:p>
    <w:p w14:paraId="1C75BC33">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楷体_GB2312" w:hAnsi="楷体_GB2312" w:eastAsia="楷体_GB2312" w:cs="楷体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1.企业基本情况一览表</w:t>
      </w:r>
    </w:p>
    <w:p w14:paraId="3FC31603">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楷体_GB2312" w:hAnsi="楷体_GB2312" w:eastAsia="楷体_GB2312" w:cs="楷体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2.投标承诺函</w:t>
      </w:r>
    </w:p>
    <w:p w14:paraId="21E9D6D2">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638" w:leftChars="304" w:right="0" w:firstLine="0" w:firstLineChars="0"/>
        <w:textAlignment w:val="auto"/>
        <w:rPr>
          <w:rFonts w:hint="eastAsia" w:ascii="楷体_GB2312" w:hAnsi="楷体_GB2312" w:eastAsia="楷体_GB2312" w:cs="楷体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3.投标人同类项目业绩</w:t>
      </w:r>
    </w:p>
    <w:p w14:paraId="38998BDF">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638" w:leftChars="304" w:right="0" w:firstLine="0" w:firstLineChars="0"/>
        <w:textAlignment w:val="auto"/>
        <w:rPr>
          <w:rFonts w:hint="eastAsia" w:ascii="楷体_GB2312" w:hAnsi="楷体_GB2312" w:eastAsia="楷体_GB2312" w:cs="楷体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4.授权情况及资质要求</w:t>
      </w:r>
    </w:p>
    <w:p w14:paraId="7F06B631">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638" w:leftChars="304" w:right="0" w:firstLine="0" w:firstLineChars="0"/>
        <w:textAlignment w:val="auto"/>
        <w:rPr>
          <w:rFonts w:hint="default" w:ascii="楷体_GB2312" w:hAnsi="楷体_GB2312" w:eastAsia="楷体_GB2312" w:cs="楷体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5.场地情况</w:t>
      </w:r>
    </w:p>
    <w:p w14:paraId="57A7ABCA">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638" w:leftChars="304" w:right="0" w:firstLine="0" w:firstLineChars="0"/>
        <w:textAlignment w:val="auto"/>
        <w:rPr>
          <w:rFonts w:hint="eastAsia" w:ascii="楷体_GB2312" w:hAnsi="楷体_GB2312" w:eastAsia="楷体_GB2312" w:cs="楷体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6.自有维修设备及仓库情况</w:t>
      </w:r>
    </w:p>
    <w:p w14:paraId="6BB0A51B">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638" w:leftChars="304" w:right="0" w:firstLine="0" w:firstLineChars="0"/>
        <w:textAlignment w:val="auto"/>
        <w:rPr>
          <w:rFonts w:hint="default" w:ascii="楷体_GB2312" w:hAnsi="楷体_GB2312" w:eastAsia="楷体_GB2312" w:cs="楷体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7.</w:t>
      </w:r>
      <w:r>
        <w:rPr>
          <w:rFonts w:hint="default" w:ascii="楷体_GB2312" w:hAnsi="楷体_GB2312" w:eastAsia="楷体_GB2312" w:cs="楷体_GB2312"/>
          <w:sz w:val="32"/>
          <w:szCs w:val="32"/>
          <w:highlight w:val="none"/>
          <w:lang w:val="en-US" w:eastAsia="zh-CN"/>
        </w:rPr>
        <w:t>拟投入本项目使用的车辆情况</w:t>
      </w:r>
    </w:p>
    <w:p w14:paraId="15AED413">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638" w:leftChars="304" w:right="0" w:firstLine="0" w:firstLineChars="0"/>
        <w:textAlignment w:val="auto"/>
        <w:rPr>
          <w:rFonts w:hint="eastAsia" w:ascii="楷体_GB2312" w:hAnsi="楷体_GB2312" w:eastAsia="楷体_GB2312" w:cs="楷体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8.安全生产标准化认证情况</w:t>
      </w:r>
    </w:p>
    <w:p w14:paraId="720402A0">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638" w:leftChars="304" w:right="0" w:firstLine="0" w:firstLineChars="0"/>
        <w:textAlignment w:val="auto"/>
        <w:rPr>
          <w:rFonts w:hint="eastAsia" w:ascii="楷体_GB2312" w:hAnsi="楷体_GB2312" w:eastAsia="楷体_GB2312" w:cs="楷体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9.拟安排的项目负责人情况</w:t>
      </w:r>
    </w:p>
    <w:p w14:paraId="65910DF1">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638" w:leftChars="304" w:right="0" w:firstLine="0" w:firstLineChars="0"/>
        <w:textAlignment w:val="auto"/>
        <w:rPr>
          <w:rFonts w:hint="default" w:ascii="楷体_GB2312" w:hAnsi="楷体_GB2312" w:eastAsia="楷体_GB2312" w:cs="楷体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10.拟安排的团队成员维修技术人员情况</w:t>
      </w:r>
    </w:p>
    <w:p w14:paraId="07BE55E0">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638" w:leftChars="304" w:right="0" w:firstLine="0" w:firstLineChars="0"/>
        <w:textAlignment w:val="auto"/>
        <w:rPr>
          <w:rFonts w:hint="eastAsia" w:ascii="楷体_GB2312" w:hAnsi="楷体_GB2312" w:eastAsia="楷体_GB2312" w:cs="楷体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11.维修服务方案</w:t>
      </w:r>
      <w:r>
        <w:rPr>
          <w:rFonts w:hint="eastAsia" w:ascii="楷体_GB2312" w:hAnsi="楷体_GB2312" w:eastAsia="楷体_GB2312" w:cs="楷体_GB2312"/>
          <w:sz w:val="32"/>
          <w:szCs w:val="32"/>
          <w:highlight w:val="none"/>
          <w:lang w:val="en-US" w:eastAsia="zh-CN"/>
        </w:rPr>
        <w:br w:type="textWrapping"/>
      </w:r>
      <w:r>
        <w:rPr>
          <w:rFonts w:hint="eastAsia" w:ascii="楷体_GB2312" w:hAnsi="楷体_GB2312" w:eastAsia="楷体_GB2312" w:cs="楷体_GB2312"/>
          <w:sz w:val="32"/>
          <w:szCs w:val="32"/>
          <w:highlight w:val="none"/>
          <w:lang w:val="en-US" w:eastAsia="zh-CN"/>
        </w:rPr>
        <w:t>12.应急服务承诺</w:t>
      </w:r>
    </w:p>
    <w:p w14:paraId="3D3EE942">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638" w:leftChars="304" w:right="0" w:firstLine="0" w:firstLineChars="0"/>
        <w:textAlignment w:val="auto"/>
        <w:rPr>
          <w:rFonts w:hint="default" w:ascii="楷体_GB2312" w:hAnsi="楷体_GB2312" w:eastAsia="楷体_GB2312" w:cs="楷体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13.维修服务质量承诺</w:t>
      </w:r>
    </w:p>
    <w:p w14:paraId="44034760">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638" w:leftChars="304" w:right="0" w:firstLine="0" w:firstLineChars="0"/>
        <w:textAlignment w:val="auto"/>
        <w:rPr>
          <w:rFonts w:hint="eastAsia" w:ascii="楷体_GB2312" w:hAnsi="楷体_GB2312" w:eastAsia="楷体_GB2312" w:cs="楷体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14.投标报价一览表</w:t>
      </w:r>
    </w:p>
    <w:p w14:paraId="395D3E3F">
      <w:pPr>
        <w:rPr>
          <w:rFonts w:hint="eastAsia" w:ascii="楷体_GB2312" w:hAnsi="楷体_GB2312" w:eastAsia="楷体_GB2312" w:cs="楷体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br w:type="page"/>
      </w:r>
    </w:p>
    <w:p w14:paraId="5A1E898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1.企业基本情况一览表</w:t>
      </w:r>
    </w:p>
    <w:tbl>
      <w:tblPr>
        <w:tblStyle w:val="14"/>
        <w:tblW w:w="98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65"/>
        <w:gridCol w:w="2438"/>
        <w:gridCol w:w="2265"/>
        <w:gridCol w:w="2438"/>
      </w:tblGrid>
      <w:tr w14:paraId="008BE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2665" w:type="dxa"/>
            <w:noWrap w:val="0"/>
            <w:vAlign w:val="center"/>
          </w:tcPr>
          <w:p w14:paraId="5BB77084">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auto"/>
              <w:rPr>
                <w:rFonts w:hint="eastAsia" w:ascii="仿宋" w:hAnsi="仿宋" w:eastAsia="仿宋" w:cs="仿宋"/>
                <w:sz w:val="30"/>
                <w:szCs w:val="30"/>
                <w:highlight w:val="none"/>
                <w:vertAlign w:val="baseline"/>
                <w:lang w:val="en-US" w:eastAsia="zh-CN"/>
              </w:rPr>
            </w:pPr>
            <w:r>
              <w:rPr>
                <w:rFonts w:hint="eastAsia" w:ascii="仿宋" w:hAnsi="仿宋" w:eastAsia="仿宋" w:cs="仿宋"/>
                <w:sz w:val="30"/>
                <w:szCs w:val="30"/>
                <w:highlight w:val="none"/>
              </w:rPr>
              <w:t>企业名称</w:t>
            </w:r>
          </w:p>
        </w:tc>
        <w:tc>
          <w:tcPr>
            <w:tcW w:w="2438" w:type="dxa"/>
            <w:noWrap w:val="0"/>
            <w:vAlign w:val="center"/>
          </w:tcPr>
          <w:p w14:paraId="177E1394">
            <w:pPr>
              <w:keepNext w:val="0"/>
              <w:keepLines w:val="0"/>
              <w:pageBreakBefore w:val="0"/>
              <w:widowControl w:val="0"/>
              <w:kinsoku/>
              <w:wordWrap/>
              <w:overflowPunct/>
              <w:topLinePunct w:val="0"/>
              <w:autoSpaceDE/>
              <w:autoSpaceDN/>
              <w:bidi w:val="0"/>
              <w:adjustRightInd/>
              <w:snapToGrid/>
              <w:spacing w:beforeAutospacing="0" w:afterAutospacing="0" w:line="400" w:lineRule="exact"/>
              <w:jc w:val="center"/>
              <w:textAlignment w:val="auto"/>
              <w:rPr>
                <w:rFonts w:hint="default" w:ascii="仿宋" w:hAnsi="仿宋" w:eastAsia="仿宋" w:cs="仿宋"/>
                <w:kern w:val="0"/>
                <w:sz w:val="30"/>
                <w:szCs w:val="30"/>
                <w:highlight w:val="none"/>
                <w:lang w:val="en-US" w:eastAsia="zh-CN" w:bidi="ar"/>
              </w:rPr>
            </w:pPr>
          </w:p>
        </w:tc>
        <w:tc>
          <w:tcPr>
            <w:tcW w:w="2265" w:type="dxa"/>
            <w:noWrap w:val="0"/>
            <w:vAlign w:val="center"/>
          </w:tcPr>
          <w:p w14:paraId="1580104A">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auto"/>
              <w:rPr>
                <w:rFonts w:hint="eastAsia" w:ascii="仿宋" w:hAnsi="仿宋" w:eastAsia="仿宋" w:cs="仿宋"/>
                <w:kern w:val="0"/>
                <w:sz w:val="30"/>
                <w:szCs w:val="30"/>
                <w:highlight w:val="none"/>
                <w:lang w:val="en-US" w:eastAsia="zh-CN" w:bidi="ar"/>
              </w:rPr>
            </w:pPr>
            <w:r>
              <w:rPr>
                <w:rFonts w:hint="eastAsia" w:ascii="仿宋" w:hAnsi="仿宋" w:eastAsia="仿宋" w:cs="仿宋"/>
                <w:sz w:val="30"/>
                <w:szCs w:val="30"/>
                <w:highlight w:val="none"/>
              </w:rPr>
              <w:t>企业曾用名（如有）</w:t>
            </w:r>
          </w:p>
        </w:tc>
        <w:tc>
          <w:tcPr>
            <w:tcW w:w="2438" w:type="dxa"/>
            <w:noWrap w:val="0"/>
            <w:vAlign w:val="center"/>
          </w:tcPr>
          <w:p w14:paraId="4672BD4D">
            <w:pPr>
              <w:keepNext w:val="0"/>
              <w:keepLines w:val="0"/>
              <w:pageBreakBefore w:val="0"/>
              <w:widowControl w:val="0"/>
              <w:kinsoku/>
              <w:wordWrap/>
              <w:overflowPunct/>
              <w:topLinePunct w:val="0"/>
              <w:autoSpaceDE/>
              <w:autoSpaceDN/>
              <w:bidi w:val="0"/>
              <w:adjustRightInd/>
              <w:snapToGrid/>
              <w:spacing w:beforeAutospacing="0" w:afterAutospacing="0" w:line="400" w:lineRule="exact"/>
              <w:jc w:val="center"/>
              <w:textAlignment w:val="auto"/>
              <w:rPr>
                <w:rFonts w:hint="eastAsia" w:ascii="仿宋" w:hAnsi="仿宋" w:eastAsia="仿宋" w:cs="仿宋"/>
                <w:sz w:val="30"/>
                <w:szCs w:val="30"/>
                <w:highlight w:val="none"/>
                <w:vertAlign w:val="baseline"/>
                <w:lang w:val="en-US" w:eastAsia="zh-CN"/>
              </w:rPr>
            </w:pPr>
          </w:p>
        </w:tc>
      </w:tr>
      <w:tr w14:paraId="406C5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2665" w:type="dxa"/>
            <w:noWrap w:val="0"/>
            <w:vAlign w:val="center"/>
          </w:tcPr>
          <w:p w14:paraId="095A0E7A">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auto"/>
              <w:rPr>
                <w:rFonts w:hint="eastAsia" w:ascii="仿宋" w:hAnsi="仿宋" w:eastAsia="仿宋" w:cs="仿宋"/>
                <w:sz w:val="30"/>
                <w:szCs w:val="30"/>
                <w:highlight w:val="none"/>
                <w:vertAlign w:val="baseline"/>
                <w:lang w:val="en-US" w:eastAsia="zh-CN"/>
              </w:rPr>
            </w:pPr>
            <w:r>
              <w:rPr>
                <w:rFonts w:hint="eastAsia" w:ascii="仿宋" w:hAnsi="仿宋" w:eastAsia="仿宋" w:cs="仿宋"/>
                <w:sz w:val="30"/>
                <w:szCs w:val="30"/>
                <w:highlight w:val="none"/>
              </w:rPr>
              <w:t>统一社会信用代码</w:t>
            </w:r>
          </w:p>
        </w:tc>
        <w:tc>
          <w:tcPr>
            <w:tcW w:w="2438" w:type="dxa"/>
            <w:noWrap w:val="0"/>
            <w:vAlign w:val="center"/>
          </w:tcPr>
          <w:p w14:paraId="7D46C171">
            <w:pPr>
              <w:keepNext w:val="0"/>
              <w:keepLines w:val="0"/>
              <w:pageBreakBefore w:val="0"/>
              <w:widowControl w:val="0"/>
              <w:kinsoku/>
              <w:wordWrap/>
              <w:overflowPunct/>
              <w:topLinePunct w:val="0"/>
              <w:autoSpaceDE/>
              <w:autoSpaceDN/>
              <w:bidi w:val="0"/>
              <w:adjustRightInd/>
              <w:snapToGrid/>
              <w:spacing w:beforeAutospacing="0" w:afterAutospacing="0" w:line="400" w:lineRule="exact"/>
              <w:jc w:val="center"/>
              <w:textAlignment w:val="auto"/>
              <w:rPr>
                <w:rFonts w:hint="eastAsia" w:ascii="仿宋" w:hAnsi="仿宋" w:eastAsia="仿宋" w:cs="仿宋"/>
                <w:kern w:val="0"/>
                <w:sz w:val="30"/>
                <w:szCs w:val="30"/>
                <w:highlight w:val="none"/>
                <w:lang w:val="en-US" w:eastAsia="zh-CN" w:bidi="ar"/>
              </w:rPr>
            </w:pPr>
          </w:p>
        </w:tc>
        <w:tc>
          <w:tcPr>
            <w:tcW w:w="2265" w:type="dxa"/>
            <w:noWrap w:val="0"/>
            <w:vAlign w:val="center"/>
          </w:tcPr>
          <w:p w14:paraId="0279416D">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auto"/>
              <w:rPr>
                <w:rFonts w:hint="eastAsia" w:ascii="仿宋" w:hAnsi="仿宋" w:eastAsia="仿宋" w:cs="仿宋"/>
                <w:kern w:val="0"/>
                <w:sz w:val="30"/>
                <w:szCs w:val="30"/>
                <w:highlight w:val="none"/>
                <w:lang w:val="en-US" w:eastAsia="zh-CN" w:bidi="ar"/>
              </w:rPr>
            </w:pPr>
            <w:r>
              <w:rPr>
                <w:rFonts w:hint="eastAsia" w:ascii="仿宋" w:hAnsi="仿宋" w:eastAsia="仿宋" w:cs="仿宋"/>
                <w:sz w:val="30"/>
                <w:szCs w:val="30"/>
                <w:highlight w:val="none"/>
              </w:rPr>
              <w:t>企业性质（民营/国有）</w:t>
            </w:r>
          </w:p>
        </w:tc>
        <w:tc>
          <w:tcPr>
            <w:tcW w:w="2438" w:type="dxa"/>
            <w:noWrap w:val="0"/>
            <w:vAlign w:val="center"/>
          </w:tcPr>
          <w:p w14:paraId="26B86FCC">
            <w:pPr>
              <w:keepNext w:val="0"/>
              <w:keepLines w:val="0"/>
              <w:pageBreakBefore w:val="0"/>
              <w:widowControl w:val="0"/>
              <w:kinsoku/>
              <w:wordWrap/>
              <w:overflowPunct/>
              <w:topLinePunct w:val="0"/>
              <w:autoSpaceDE/>
              <w:autoSpaceDN/>
              <w:bidi w:val="0"/>
              <w:adjustRightInd/>
              <w:snapToGrid/>
              <w:spacing w:beforeAutospacing="0" w:afterAutospacing="0" w:line="400" w:lineRule="exact"/>
              <w:jc w:val="center"/>
              <w:textAlignment w:val="auto"/>
              <w:rPr>
                <w:rFonts w:hint="eastAsia" w:ascii="仿宋" w:hAnsi="仿宋" w:eastAsia="仿宋" w:cs="仿宋"/>
                <w:sz w:val="30"/>
                <w:szCs w:val="30"/>
                <w:highlight w:val="none"/>
                <w:vertAlign w:val="baseline"/>
                <w:lang w:val="en-US" w:eastAsia="zh-CN"/>
              </w:rPr>
            </w:pPr>
          </w:p>
        </w:tc>
      </w:tr>
      <w:tr w14:paraId="6D4A5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2665" w:type="dxa"/>
            <w:noWrap w:val="0"/>
            <w:vAlign w:val="center"/>
          </w:tcPr>
          <w:p w14:paraId="686BFDE8">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auto"/>
              <w:rPr>
                <w:rFonts w:hint="eastAsia" w:ascii="仿宋" w:hAnsi="仿宋" w:eastAsia="仿宋" w:cs="仿宋"/>
                <w:sz w:val="30"/>
                <w:szCs w:val="30"/>
                <w:highlight w:val="none"/>
                <w:vertAlign w:val="baseline"/>
                <w:lang w:val="en-US" w:eastAsia="zh-CN"/>
              </w:rPr>
            </w:pPr>
            <w:r>
              <w:rPr>
                <w:rFonts w:hint="eastAsia" w:ascii="仿宋" w:hAnsi="仿宋" w:eastAsia="仿宋" w:cs="仿宋"/>
                <w:sz w:val="30"/>
                <w:szCs w:val="30"/>
                <w:highlight w:val="none"/>
              </w:rPr>
              <w:t>注册资金（万元）</w:t>
            </w:r>
          </w:p>
        </w:tc>
        <w:tc>
          <w:tcPr>
            <w:tcW w:w="2438" w:type="dxa"/>
            <w:noWrap w:val="0"/>
            <w:vAlign w:val="center"/>
          </w:tcPr>
          <w:p w14:paraId="119C2349">
            <w:pPr>
              <w:keepNext w:val="0"/>
              <w:keepLines w:val="0"/>
              <w:pageBreakBefore w:val="0"/>
              <w:widowControl w:val="0"/>
              <w:kinsoku/>
              <w:wordWrap/>
              <w:overflowPunct/>
              <w:topLinePunct w:val="0"/>
              <w:autoSpaceDE/>
              <w:autoSpaceDN/>
              <w:bidi w:val="0"/>
              <w:adjustRightInd/>
              <w:snapToGrid/>
              <w:spacing w:beforeAutospacing="0" w:afterAutospacing="0" w:line="400" w:lineRule="exact"/>
              <w:jc w:val="center"/>
              <w:textAlignment w:val="auto"/>
              <w:rPr>
                <w:rFonts w:hint="eastAsia" w:ascii="仿宋" w:hAnsi="仿宋" w:eastAsia="仿宋" w:cs="仿宋"/>
                <w:kern w:val="0"/>
                <w:sz w:val="30"/>
                <w:szCs w:val="30"/>
                <w:highlight w:val="none"/>
                <w:lang w:val="en-US" w:eastAsia="zh-CN" w:bidi="ar"/>
              </w:rPr>
            </w:pPr>
          </w:p>
        </w:tc>
        <w:tc>
          <w:tcPr>
            <w:tcW w:w="2265" w:type="dxa"/>
            <w:noWrap w:val="0"/>
            <w:vAlign w:val="center"/>
          </w:tcPr>
          <w:p w14:paraId="4117FB36">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auto"/>
              <w:rPr>
                <w:rFonts w:hint="eastAsia" w:ascii="仿宋" w:hAnsi="仿宋" w:eastAsia="仿宋" w:cs="仿宋"/>
                <w:kern w:val="0"/>
                <w:sz w:val="30"/>
                <w:szCs w:val="30"/>
                <w:highlight w:val="none"/>
                <w:lang w:val="en-US" w:eastAsia="zh-CN" w:bidi="ar"/>
              </w:rPr>
            </w:pPr>
            <w:r>
              <w:rPr>
                <w:rFonts w:hint="eastAsia" w:ascii="仿宋" w:hAnsi="仿宋" w:eastAsia="仿宋" w:cs="仿宋"/>
                <w:sz w:val="30"/>
                <w:szCs w:val="30"/>
                <w:highlight w:val="none"/>
              </w:rPr>
              <w:t>注册地址</w:t>
            </w:r>
          </w:p>
        </w:tc>
        <w:tc>
          <w:tcPr>
            <w:tcW w:w="2438" w:type="dxa"/>
            <w:noWrap w:val="0"/>
            <w:vAlign w:val="center"/>
          </w:tcPr>
          <w:p w14:paraId="756B290B">
            <w:pPr>
              <w:keepNext w:val="0"/>
              <w:keepLines w:val="0"/>
              <w:pageBreakBefore w:val="0"/>
              <w:widowControl w:val="0"/>
              <w:kinsoku/>
              <w:wordWrap/>
              <w:overflowPunct/>
              <w:topLinePunct w:val="0"/>
              <w:autoSpaceDE/>
              <w:autoSpaceDN/>
              <w:bidi w:val="0"/>
              <w:adjustRightInd/>
              <w:snapToGrid/>
              <w:spacing w:beforeAutospacing="0" w:afterAutospacing="0" w:line="400" w:lineRule="exact"/>
              <w:jc w:val="center"/>
              <w:textAlignment w:val="auto"/>
              <w:rPr>
                <w:rFonts w:hint="eastAsia" w:ascii="仿宋" w:hAnsi="仿宋" w:eastAsia="仿宋" w:cs="仿宋"/>
                <w:sz w:val="30"/>
                <w:szCs w:val="30"/>
                <w:highlight w:val="none"/>
                <w:vertAlign w:val="baseline"/>
                <w:lang w:val="en-US" w:eastAsia="zh-CN"/>
              </w:rPr>
            </w:pPr>
          </w:p>
        </w:tc>
      </w:tr>
      <w:tr w14:paraId="1E447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2665" w:type="dxa"/>
            <w:noWrap w:val="0"/>
            <w:vAlign w:val="center"/>
          </w:tcPr>
          <w:p w14:paraId="0FD187FE">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auto"/>
              <w:rPr>
                <w:rFonts w:hint="eastAsia" w:ascii="仿宋" w:hAnsi="仿宋" w:eastAsia="仿宋" w:cs="仿宋"/>
                <w:sz w:val="30"/>
                <w:szCs w:val="30"/>
                <w:highlight w:val="none"/>
                <w:vertAlign w:val="baseline"/>
                <w:lang w:val="en-US" w:eastAsia="zh-CN"/>
              </w:rPr>
            </w:pPr>
            <w:r>
              <w:rPr>
                <w:rFonts w:hint="eastAsia" w:ascii="仿宋" w:hAnsi="仿宋" w:eastAsia="仿宋" w:cs="仿宋"/>
                <w:sz w:val="30"/>
                <w:szCs w:val="30"/>
                <w:highlight w:val="none"/>
              </w:rPr>
              <w:t>企业法定代表人</w:t>
            </w:r>
          </w:p>
        </w:tc>
        <w:tc>
          <w:tcPr>
            <w:tcW w:w="2438" w:type="dxa"/>
            <w:noWrap w:val="0"/>
            <w:vAlign w:val="center"/>
          </w:tcPr>
          <w:p w14:paraId="7D110F1B">
            <w:pPr>
              <w:keepNext w:val="0"/>
              <w:keepLines w:val="0"/>
              <w:pageBreakBefore w:val="0"/>
              <w:widowControl w:val="0"/>
              <w:kinsoku/>
              <w:wordWrap/>
              <w:overflowPunct/>
              <w:topLinePunct w:val="0"/>
              <w:autoSpaceDE/>
              <w:autoSpaceDN/>
              <w:bidi w:val="0"/>
              <w:adjustRightInd/>
              <w:snapToGrid/>
              <w:spacing w:beforeAutospacing="0" w:afterAutospacing="0" w:line="400" w:lineRule="exact"/>
              <w:jc w:val="center"/>
              <w:textAlignment w:val="auto"/>
              <w:rPr>
                <w:rFonts w:hint="eastAsia" w:ascii="仿宋" w:hAnsi="仿宋" w:eastAsia="仿宋" w:cs="仿宋"/>
                <w:kern w:val="0"/>
                <w:sz w:val="30"/>
                <w:szCs w:val="30"/>
                <w:highlight w:val="none"/>
                <w:lang w:val="en-US" w:eastAsia="zh-CN" w:bidi="ar"/>
              </w:rPr>
            </w:pPr>
          </w:p>
        </w:tc>
        <w:tc>
          <w:tcPr>
            <w:tcW w:w="2265" w:type="dxa"/>
            <w:noWrap w:val="0"/>
            <w:vAlign w:val="center"/>
          </w:tcPr>
          <w:p w14:paraId="7E9550F8">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auto"/>
              <w:rPr>
                <w:rFonts w:hint="eastAsia" w:ascii="仿宋" w:hAnsi="仿宋" w:eastAsia="仿宋" w:cs="仿宋"/>
                <w:kern w:val="0"/>
                <w:sz w:val="30"/>
                <w:szCs w:val="30"/>
                <w:highlight w:val="none"/>
                <w:lang w:val="en-US" w:eastAsia="zh-CN" w:bidi="ar"/>
              </w:rPr>
            </w:pPr>
            <w:r>
              <w:rPr>
                <w:rFonts w:hint="eastAsia" w:ascii="仿宋" w:hAnsi="仿宋" w:eastAsia="仿宋" w:cs="仿宋"/>
                <w:sz w:val="30"/>
                <w:szCs w:val="30"/>
                <w:highlight w:val="none"/>
              </w:rPr>
              <w:t>建立日期</w:t>
            </w:r>
          </w:p>
        </w:tc>
        <w:tc>
          <w:tcPr>
            <w:tcW w:w="2438" w:type="dxa"/>
            <w:noWrap w:val="0"/>
            <w:vAlign w:val="center"/>
          </w:tcPr>
          <w:p w14:paraId="1453CA61">
            <w:pPr>
              <w:keepNext w:val="0"/>
              <w:keepLines w:val="0"/>
              <w:pageBreakBefore w:val="0"/>
              <w:widowControl w:val="0"/>
              <w:kinsoku/>
              <w:wordWrap/>
              <w:overflowPunct/>
              <w:topLinePunct w:val="0"/>
              <w:autoSpaceDE/>
              <w:autoSpaceDN/>
              <w:bidi w:val="0"/>
              <w:adjustRightInd/>
              <w:snapToGrid/>
              <w:spacing w:beforeAutospacing="0" w:afterAutospacing="0" w:line="400" w:lineRule="exact"/>
              <w:jc w:val="center"/>
              <w:textAlignment w:val="auto"/>
              <w:rPr>
                <w:rFonts w:hint="eastAsia" w:ascii="仿宋" w:hAnsi="仿宋" w:eastAsia="仿宋" w:cs="仿宋"/>
                <w:sz w:val="30"/>
                <w:szCs w:val="30"/>
                <w:highlight w:val="none"/>
                <w:vertAlign w:val="baseline"/>
                <w:lang w:val="en-US" w:eastAsia="zh-CN"/>
              </w:rPr>
            </w:pPr>
          </w:p>
        </w:tc>
      </w:tr>
      <w:tr w14:paraId="69908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2665" w:type="dxa"/>
            <w:noWrap w:val="0"/>
            <w:vAlign w:val="center"/>
          </w:tcPr>
          <w:p w14:paraId="13C68371">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sz w:val="30"/>
                <w:szCs w:val="30"/>
                <w:highlight w:val="none"/>
              </w:rPr>
            </w:pPr>
            <w:r>
              <w:rPr>
                <w:rFonts w:hint="eastAsia" w:ascii="仿宋" w:hAnsi="仿宋" w:eastAsia="仿宋" w:cs="仿宋"/>
                <w:sz w:val="30"/>
                <w:szCs w:val="30"/>
                <w:highlight w:val="none"/>
              </w:rPr>
              <w:t>企业现有资质类别</w:t>
            </w:r>
          </w:p>
          <w:p w14:paraId="12F37F07">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auto"/>
              <w:rPr>
                <w:rFonts w:hint="eastAsia" w:ascii="仿宋" w:hAnsi="仿宋" w:eastAsia="仿宋" w:cs="仿宋"/>
                <w:sz w:val="30"/>
                <w:szCs w:val="30"/>
                <w:highlight w:val="none"/>
                <w:vertAlign w:val="baseline"/>
                <w:lang w:val="en-US" w:eastAsia="zh-CN"/>
              </w:rPr>
            </w:pPr>
            <w:r>
              <w:rPr>
                <w:rFonts w:hint="eastAsia" w:ascii="仿宋" w:hAnsi="仿宋" w:eastAsia="仿宋" w:cs="仿宋"/>
                <w:sz w:val="30"/>
                <w:szCs w:val="30"/>
                <w:highlight w:val="none"/>
              </w:rPr>
              <w:t>及等级</w:t>
            </w:r>
          </w:p>
        </w:tc>
        <w:tc>
          <w:tcPr>
            <w:tcW w:w="7141" w:type="dxa"/>
            <w:gridSpan w:val="3"/>
            <w:noWrap w:val="0"/>
            <w:vAlign w:val="center"/>
          </w:tcPr>
          <w:p w14:paraId="24F59CA2">
            <w:pPr>
              <w:keepNext w:val="0"/>
              <w:keepLines w:val="0"/>
              <w:pageBreakBefore w:val="0"/>
              <w:widowControl w:val="0"/>
              <w:kinsoku/>
              <w:wordWrap/>
              <w:overflowPunct/>
              <w:topLinePunct w:val="0"/>
              <w:autoSpaceDE/>
              <w:autoSpaceDN/>
              <w:bidi w:val="0"/>
              <w:adjustRightInd/>
              <w:snapToGrid/>
              <w:spacing w:beforeAutospacing="0" w:afterAutospacing="0" w:line="400" w:lineRule="exact"/>
              <w:jc w:val="center"/>
              <w:textAlignment w:val="auto"/>
              <w:rPr>
                <w:rFonts w:hint="eastAsia" w:ascii="仿宋" w:hAnsi="仿宋" w:eastAsia="仿宋" w:cs="仿宋"/>
                <w:sz w:val="30"/>
                <w:szCs w:val="30"/>
                <w:highlight w:val="none"/>
                <w:vertAlign w:val="baseline"/>
                <w:lang w:val="en-US" w:eastAsia="zh-CN"/>
              </w:rPr>
            </w:pPr>
          </w:p>
        </w:tc>
      </w:tr>
      <w:tr w14:paraId="0C5D4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5" w:hRule="atLeast"/>
          <w:jc w:val="center"/>
        </w:trPr>
        <w:tc>
          <w:tcPr>
            <w:tcW w:w="2665" w:type="dxa"/>
            <w:noWrap w:val="0"/>
            <w:vAlign w:val="center"/>
          </w:tcPr>
          <w:p w14:paraId="0E361B2B">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sz w:val="30"/>
                <w:szCs w:val="30"/>
                <w:highlight w:val="none"/>
              </w:rPr>
            </w:pPr>
            <w:r>
              <w:rPr>
                <w:rFonts w:hint="eastAsia" w:ascii="仿宋" w:hAnsi="仿宋" w:eastAsia="仿宋" w:cs="仿宋"/>
                <w:sz w:val="30"/>
                <w:szCs w:val="30"/>
                <w:highlight w:val="none"/>
              </w:rPr>
              <w:t>企业简介</w:t>
            </w:r>
          </w:p>
          <w:p w14:paraId="270FA5C4">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auto"/>
              <w:rPr>
                <w:rFonts w:hint="eastAsia" w:ascii="仿宋" w:hAnsi="仿宋" w:eastAsia="仿宋" w:cs="仿宋"/>
                <w:sz w:val="30"/>
                <w:szCs w:val="30"/>
                <w:highlight w:val="none"/>
                <w:vertAlign w:val="baseline"/>
                <w:lang w:val="en-US" w:eastAsia="zh-CN"/>
              </w:rPr>
            </w:pPr>
            <w:r>
              <w:rPr>
                <w:rFonts w:hint="eastAsia" w:ascii="仿宋" w:hAnsi="仿宋" w:eastAsia="仿宋" w:cs="仿宋"/>
                <w:sz w:val="30"/>
                <w:szCs w:val="30"/>
                <w:highlight w:val="none"/>
              </w:rPr>
              <w:t>（内容包括企业规模、人员数量及具有技术职称人员所占的比率等）</w:t>
            </w:r>
          </w:p>
        </w:tc>
        <w:tc>
          <w:tcPr>
            <w:tcW w:w="7141" w:type="dxa"/>
            <w:gridSpan w:val="3"/>
            <w:noWrap w:val="0"/>
            <w:vAlign w:val="center"/>
          </w:tcPr>
          <w:p w14:paraId="03E1427F">
            <w:pPr>
              <w:keepNext w:val="0"/>
              <w:keepLines w:val="0"/>
              <w:pageBreakBefore w:val="0"/>
              <w:widowControl w:val="0"/>
              <w:kinsoku/>
              <w:wordWrap/>
              <w:overflowPunct/>
              <w:topLinePunct w:val="0"/>
              <w:autoSpaceDE/>
              <w:autoSpaceDN/>
              <w:bidi w:val="0"/>
              <w:adjustRightInd/>
              <w:snapToGrid/>
              <w:spacing w:beforeAutospacing="0" w:afterAutospacing="0" w:line="400" w:lineRule="exact"/>
              <w:jc w:val="center"/>
              <w:textAlignment w:val="auto"/>
              <w:rPr>
                <w:rFonts w:hint="eastAsia" w:ascii="仿宋" w:hAnsi="仿宋" w:eastAsia="仿宋" w:cs="仿宋"/>
                <w:sz w:val="30"/>
                <w:szCs w:val="30"/>
                <w:highlight w:val="none"/>
                <w:vertAlign w:val="baseline"/>
                <w:lang w:val="en-US" w:eastAsia="zh-CN"/>
              </w:rPr>
            </w:pPr>
          </w:p>
        </w:tc>
      </w:tr>
      <w:tr w14:paraId="12D18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2665" w:type="dxa"/>
            <w:noWrap w:val="0"/>
            <w:vAlign w:val="center"/>
          </w:tcPr>
          <w:p w14:paraId="7F7338FE">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sz w:val="30"/>
                <w:szCs w:val="30"/>
                <w:highlight w:val="none"/>
                <w:vertAlign w:val="baseline"/>
                <w:lang w:val="en-US" w:eastAsia="zh-CN"/>
              </w:rPr>
            </w:pPr>
            <w:r>
              <w:rPr>
                <w:rFonts w:hint="eastAsia" w:ascii="仿宋" w:hAnsi="仿宋" w:eastAsia="仿宋" w:cs="仿宋"/>
                <w:sz w:val="30"/>
                <w:szCs w:val="30"/>
                <w:highlight w:val="none"/>
              </w:rPr>
              <w:t>拟派项目负责人及资质</w:t>
            </w:r>
          </w:p>
        </w:tc>
        <w:tc>
          <w:tcPr>
            <w:tcW w:w="7141" w:type="dxa"/>
            <w:gridSpan w:val="3"/>
            <w:noWrap w:val="0"/>
            <w:vAlign w:val="center"/>
          </w:tcPr>
          <w:p w14:paraId="41B67250">
            <w:pPr>
              <w:keepNext w:val="0"/>
              <w:keepLines w:val="0"/>
              <w:pageBreakBefore w:val="0"/>
              <w:widowControl w:val="0"/>
              <w:kinsoku/>
              <w:wordWrap/>
              <w:overflowPunct/>
              <w:topLinePunct w:val="0"/>
              <w:autoSpaceDE/>
              <w:autoSpaceDN/>
              <w:bidi w:val="0"/>
              <w:adjustRightInd/>
              <w:snapToGrid/>
              <w:spacing w:beforeAutospacing="0" w:afterAutospacing="0" w:line="400" w:lineRule="exact"/>
              <w:jc w:val="center"/>
              <w:textAlignment w:val="auto"/>
              <w:rPr>
                <w:rFonts w:hint="eastAsia" w:ascii="仿宋" w:hAnsi="仿宋" w:eastAsia="仿宋" w:cs="仿宋"/>
                <w:sz w:val="30"/>
                <w:szCs w:val="30"/>
                <w:highlight w:val="none"/>
                <w:vertAlign w:val="baseline"/>
                <w:lang w:val="en-US" w:eastAsia="zh-CN"/>
              </w:rPr>
            </w:pPr>
          </w:p>
        </w:tc>
      </w:tr>
      <w:tr w14:paraId="7DDC3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2665" w:type="dxa"/>
            <w:noWrap w:val="0"/>
            <w:vAlign w:val="center"/>
          </w:tcPr>
          <w:p w14:paraId="0A5F2193">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sz w:val="30"/>
                <w:szCs w:val="30"/>
                <w:highlight w:val="none"/>
                <w:vertAlign w:val="baseline"/>
                <w:lang w:val="en-US" w:eastAsia="zh-CN"/>
              </w:rPr>
            </w:pPr>
            <w:r>
              <w:rPr>
                <w:rFonts w:hint="eastAsia" w:ascii="仿宋" w:hAnsi="仿宋" w:eastAsia="仿宋" w:cs="仿宋"/>
                <w:sz w:val="30"/>
                <w:szCs w:val="30"/>
                <w:highlight w:val="none"/>
              </w:rPr>
              <w:t>投标联系人及联系方式</w:t>
            </w:r>
          </w:p>
        </w:tc>
        <w:tc>
          <w:tcPr>
            <w:tcW w:w="7141" w:type="dxa"/>
            <w:gridSpan w:val="3"/>
            <w:noWrap w:val="0"/>
            <w:vAlign w:val="center"/>
          </w:tcPr>
          <w:p w14:paraId="7D0E10D0">
            <w:pPr>
              <w:keepNext w:val="0"/>
              <w:keepLines w:val="0"/>
              <w:pageBreakBefore w:val="0"/>
              <w:widowControl w:val="0"/>
              <w:kinsoku/>
              <w:wordWrap/>
              <w:overflowPunct/>
              <w:topLinePunct w:val="0"/>
              <w:autoSpaceDE/>
              <w:autoSpaceDN/>
              <w:bidi w:val="0"/>
              <w:adjustRightInd/>
              <w:snapToGrid/>
              <w:spacing w:beforeAutospacing="0" w:afterAutospacing="0" w:line="400" w:lineRule="exact"/>
              <w:jc w:val="center"/>
              <w:textAlignment w:val="auto"/>
              <w:rPr>
                <w:rFonts w:hint="eastAsia" w:ascii="仿宋" w:hAnsi="仿宋" w:eastAsia="仿宋" w:cs="仿宋"/>
                <w:sz w:val="30"/>
                <w:szCs w:val="30"/>
                <w:highlight w:val="none"/>
                <w:vertAlign w:val="baseline"/>
                <w:lang w:val="en-US" w:eastAsia="zh-CN"/>
              </w:rPr>
            </w:pPr>
          </w:p>
        </w:tc>
      </w:tr>
      <w:tr w14:paraId="2F53A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2665" w:type="dxa"/>
            <w:noWrap w:val="0"/>
            <w:vAlign w:val="center"/>
          </w:tcPr>
          <w:p w14:paraId="5A22F70E">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auto"/>
              <w:rPr>
                <w:rFonts w:hint="eastAsia" w:ascii="仿宋" w:hAnsi="仿宋" w:eastAsia="仿宋" w:cs="仿宋"/>
                <w:sz w:val="30"/>
                <w:szCs w:val="30"/>
                <w:highlight w:val="none"/>
                <w:vertAlign w:val="baseline"/>
                <w:lang w:val="en-US" w:eastAsia="zh-CN"/>
              </w:rPr>
            </w:pPr>
            <w:r>
              <w:rPr>
                <w:rFonts w:hint="eastAsia" w:ascii="仿宋" w:hAnsi="仿宋" w:eastAsia="仿宋" w:cs="仿宋"/>
                <w:sz w:val="30"/>
                <w:szCs w:val="30"/>
                <w:highlight w:val="none"/>
              </w:rPr>
              <w:t>其他</w:t>
            </w:r>
          </w:p>
        </w:tc>
        <w:tc>
          <w:tcPr>
            <w:tcW w:w="7141" w:type="dxa"/>
            <w:gridSpan w:val="3"/>
            <w:noWrap w:val="0"/>
            <w:vAlign w:val="center"/>
          </w:tcPr>
          <w:p w14:paraId="785A1348">
            <w:pPr>
              <w:keepNext w:val="0"/>
              <w:keepLines w:val="0"/>
              <w:pageBreakBefore w:val="0"/>
              <w:widowControl w:val="0"/>
              <w:kinsoku/>
              <w:wordWrap/>
              <w:overflowPunct/>
              <w:topLinePunct w:val="0"/>
              <w:autoSpaceDE/>
              <w:autoSpaceDN/>
              <w:bidi w:val="0"/>
              <w:adjustRightInd/>
              <w:snapToGrid/>
              <w:spacing w:beforeAutospacing="0" w:afterAutospacing="0" w:line="400" w:lineRule="exact"/>
              <w:jc w:val="center"/>
              <w:textAlignment w:val="auto"/>
              <w:rPr>
                <w:rFonts w:hint="eastAsia" w:ascii="仿宋" w:hAnsi="仿宋" w:eastAsia="仿宋" w:cs="仿宋"/>
                <w:sz w:val="30"/>
                <w:szCs w:val="30"/>
                <w:highlight w:val="none"/>
                <w:vertAlign w:val="baseline"/>
                <w:lang w:val="en-US" w:eastAsia="zh-CN"/>
              </w:rPr>
            </w:pPr>
          </w:p>
        </w:tc>
      </w:tr>
    </w:tbl>
    <w:p w14:paraId="5485415C">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仿宋" w:hAnsi="仿宋" w:eastAsia="仿宋" w:cs="仿宋"/>
          <w:sz w:val="24"/>
          <w:szCs w:val="24"/>
          <w:highlight w:val="none"/>
          <w:lang w:val="en-US" w:eastAsia="zh-CN"/>
        </w:rPr>
        <w:sectPr>
          <w:pgSz w:w="11906" w:h="16838"/>
          <w:pgMar w:top="2098" w:right="1474" w:bottom="1984" w:left="1587" w:header="851" w:footer="992" w:gutter="0"/>
          <w:pgNumType w:fmt="decimal"/>
          <w:cols w:space="720" w:num="1"/>
          <w:rtlGutter w:val="0"/>
          <w:docGrid w:type="lines" w:linePitch="312" w:charSpace="0"/>
        </w:sectPr>
      </w:pPr>
      <w:r>
        <w:rPr>
          <w:rFonts w:hint="eastAsia" w:ascii="仿宋" w:hAnsi="仿宋" w:eastAsia="仿宋" w:cs="仿宋"/>
          <w:b/>
          <w:bCs/>
          <w:sz w:val="24"/>
          <w:szCs w:val="24"/>
          <w:highlight w:val="none"/>
        </w:rPr>
        <w:t>注：</w:t>
      </w:r>
      <w:r>
        <w:rPr>
          <w:rFonts w:hint="eastAsia" w:ascii="仿宋" w:hAnsi="仿宋" w:eastAsia="仿宋" w:cs="仿宋"/>
          <w:b/>
          <w:bCs/>
          <w:sz w:val="24"/>
          <w:szCs w:val="24"/>
          <w:highlight w:val="none"/>
          <w:lang w:val="en-US" w:eastAsia="zh-CN"/>
        </w:rPr>
        <w:t>资质证书等</w:t>
      </w:r>
      <w:r>
        <w:rPr>
          <w:rFonts w:hint="eastAsia" w:ascii="仿宋" w:hAnsi="仿宋" w:eastAsia="仿宋" w:cs="仿宋"/>
          <w:b/>
          <w:bCs/>
          <w:sz w:val="24"/>
          <w:szCs w:val="24"/>
          <w:highlight w:val="none"/>
        </w:rPr>
        <w:t>相关证书</w:t>
      </w:r>
      <w:r>
        <w:rPr>
          <w:rFonts w:hint="eastAsia" w:ascii="仿宋" w:hAnsi="仿宋" w:eastAsia="仿宋" w:cs="仿宋"/>
          <w:b/>
          <w:bCs/>
          <w:sz w:val="24"/>
          <w:szCs w:val="24"/>
          <w:highlight w:val="none"/>
          <w:lang w:eastAsia="zh-CN"/>
        </w:rPr>
        <w:t>复印</w:t>
      </w:r>
      <w:r>
        <w:rPr>
          <w:rFonts w:hint="eastAsia" w:ascii="仿宋" w:hAnsi="仿宋" w:eastAsia="仿宋" w:cs="仿宋"/>
          <w:b/>
          <w:bCs/>
          <w:sz w:val="24"/>
          <w:szCs w:val="24"/>
          <w:highlight w:val="none"/>
        </w:rPr>
        <w:t>件</w:t>
      </w:r>
      <w:r>
        <w:rPr>
          <w:rFonts w:hint="eastAsia" w:ascii="仿宋" w:hAnsi="仿宋" w:eastAsia="仿宋" w:cs="仿宋"/>
          <w:b/>
          <w:bCs/>
          <w:sz w:val="24"/>
          <w:szCs w:val="24"/>
          <w:highlight w:val="none"/>
          <w:lang w:val="en-US" w:eastAsia="zh-CN"/>
        </w:rPr>
        <w:t>加盖公章</w:t>
      </w:r>
      <w:r>
        <w:rPr>
          <w:rFonts w:hint="eastAsia" w:ascii="仿宋" w:hAnsi="仿宋" w:eastAsia="仿宋" w:cs="仿宋"/>
          <w:b/>
          <w:bCs/>
          <w:sz w:val="24"/>
          <w:szCs w:val="24"/>
          <w:highlight w:val="none"/>
        </w:rPr>
        <w:t>应后附，如果表中填写的内容与招标人在相关网站查询结果不一致，将视为投标人存在弄虚作假的情形。</w:t>
      </w:r>
    </w:p>
    <w:p w14:paraId="06225D4C">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楷体_GB2312" w:hAnsi="楷体_GB2312" w:eastAsia="楷体_GB2312" w:cs="楷体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2.投标承诺函</w:t>
      </w:r>
    </w:p>
    <w:p w14:paraId="4866B417">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黑体" w:hAnsi="黑体" w:eastAsia="黑体" w:cs="黑体"/>
          <w:b w:val="0"/>
          <w:bCs w:val="0"/>
          <w:sz w:val="32"/>
          <w:szCs w:val="32"/>
          <w:highlight w:val="none"/>
        </w:rPr>
      </w:pPr>
      <w:r>
        <w:rPr>
          <w:rFonts w:hint="eastAsia" w:ascii="黑体" w:hAnsi="黑体" w:eastAsia="黑体" w:cs="黑体"/>
          <w:b w:val="0"/>
          <w:bCs w:val="0"/>
          <w:sz w:val="32"/>
          <w:szCs w:val="32"/>
          <w:highlight w:val="none"/>
        </w:rPr>
        <w:t>投标承诺函</w:t>
      </w:r>
    </w:p>
    <w:p w14:paraId="57812C6C">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黑体" w:hAnsi="黑体" w:eastAsia="黑体" w:cs="黑体"/>
          <w:b w:val="0"/>
          <w:bCs w:val="0"/>
          <w:sz w:val="32"/>
          <w:szCs w:val="32"/>
          <w:highlight w:val="none"/>
        </w:rPr>
      </w:pPr>
    </w:p>
    <w:p w14:paraId="5B0D7EC6">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致</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u w:val="single"/>
          <w:lang w:val="en-US" w:eastAsia="zh-CN"/>
        </w:rPr>
        <w:t xml:space="preserve"> </w:t>
      </w:r>
      <w:r>
        <w:rPr>
          <w:rFonts w:hint="eastAsia" w:ascii="仿宋_GB2312" w:hAnsi="仿宋_GB2312" w:eastAsia="仿宋_GB2312" w:cs="仿宋_GB2312"/>
          <w:sz w:val="32"/>
          <w:szCs w:val="32"/>
          <w:highlight w:val="none"/>
          <w:u w:val="single"/>
        </w:rPr>
        <w:t>深圳市龙华</w:t>
      </w:r>
      <w:r>
        <w:rPr>
          <w:rFonts w:hint="eastAsia" w:ascii="仿宋_GB2312" w:hAnsi="仿宋_GB2312" w:eastAsia="仿宋_GB2312" w:cs="仿宋_GB2312"/>
          <w:sz w:val="32"/>
          <w:szCs w:val="32"/>
          <w:highlight w:val="none"/>
          <w:u w:val="single"/>
          <w:lang w:val="en-US" w:eastAsia="zh-CN"/>
        </w:rPr>
        <w:t>环境</w:t>
      </w:r>
      <w:r>
        <w:rPr>
          <w:rFonts w:hint="eastAsia" w:ascii="仿宋_GB2312" w:hAnsi="仿宋_GB2312" w:eastAsia="仿宋_GB2312" w:cs="仿宋_GB2312"/>
          <w:sz w:val="32"/>
          <w:szCs w:val="32"/>
          <w:highlight w:val="none"/>
          <w:u w:val="single"/>
        </w:rPr>
        <w:t>有限公司</w:t>
      </w:r>
      <w:r>
        <w:rPr>
          <w:rFonts w:hint="eastAsia" w:ascii="仿宋_GB2312" w:hAnsi="仿宋_GB2312" w:eastAsia="仿宋_GB2312" w:cs="仿宋_GB2312"/>
          <w:sz w:val="32"/>
          <w:szCs w:val="32"/>
          <w:highlight w:val="none"/>
          <w:u w:val="single"/>
          <w:lang w:val="en-US" w:eastAsia="zh-CN"/>
        </w:rPr>
        <w:t xml:space="preserve"> </w:t>
      </w:r>
    </w:p>
    <w:p w14:paraId="31EBC208">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为了确保本项目工作顺利进行，我方将严格执行招标投标管理的法律法规，并完全接受</w:t>
      </w:r>
      <w:r>
        <w:rPr>
          <w:rFonts w:hint="eastAsia" w:ascii="仿宋_GB2312" w:hAnsi="仿宋_GB2312" w:eastAsia="仿宋_GB2312" w:cs="仿宋_GB2312"/>
          <w:sz w:val="32"/>
          <w:szCs w:val="32"/>
          <w:highlight w:val="none"/>
          <w:u w:val="single"/>
        </w:rPr>
        <w:t xml:space="preserve"> </w:t>
      </w:r>
      <w:r>
        <w:rPr>
          <w:rFonts w:hint="eastAsia" w:ascii="仿宋_GB2312" w:hAnsi="仿宋_GB2312" w:eastAsia="仿宋_GB2312" w:cs="仿宋_GB2312"/>
          <w:sz w:val="32"/>
          <w:szCs w:val="32"/>
          <w:highlight w:val="none"/>
          <w:u w:val="single"/>
          <w:lang w:val="en-US" w:eastAsia="zh-CN"/>
        </w:rPr>
        <w:t>新能源车辆三电系统定点维修服务采购</w:t>
      </w:r>
      <w:r>
        <w:rPr>
          <w:rFonts w:hint="eastAsia" w:ascii="仿宋_GB2312" w:hAnsi="仿宋_GB2312" w:eastAsia="仿宋_GB2312" w:cs="仿宋_GB2312"/>
          <w:sz w:val="32"/>
          <w:szCs w:val="32"/>
          <w:highlight w:val="none"/>
          <w:u w:val="single"/>
        </w:rPr>
        <w:t xml:space="preserve"> </w:t>
      </w:r>
      <w:r>
        <w:rPr>
          <w:rFonts w:hint="eastAsia" w:ascii="仿宋_GB2312" w:hAnsi="仿宋_GB2312" w:eastAsia="仿宋_GB2312" w:cs="仿宋_GB2312"/>
          <w:sz w:val="32"/>
          <w:szCs w:val="32"/>
          <w:highlight w:val="none"/>
          <w:u w:val="none"/>
          <w:lang w:val="en-US" w:eastAsia="zh-CN"/>
        </w:rPr>
        <w:t>公开遴选</w:t>
      </w:r>
      <w:r>
        <w:rPr>
          <w:rFonts w:hint="eastAsia" w:ascii="仿宋_GB2312" w:hAnsi="仿宋_GB2312" w:eastAsia="仿宋_GB2312" w:cs="仿宋_GB2312"/>
          <w:sz w:val="32"/>
          <w:szCs w:val="32"/>
          <w:highlight w:val="none"/>
        </w:rPr>
        <w:t xml:space="preserve">公告的所有内容及要求，为此作出如下承诺： </w:t>
      </w:r>
    </w:p>
    <w:p w14:paraId="2E446833">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 xml:space="preserve">我方接受《新能源车辆三电系统定点维修服务采购公开遴选公告》中确定的计价方式，根据企业自身情况，理性报价，不会以低于成本的报价竞争。 </w:t>
      </w:r>
    </w:p>
    <w:p w14:paraId="21FF9F43">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 xml:space="preserve">一旦我方中选，将与委托单位友好合作，依约履行委托合同，自觉接受委托单位的日常监管和履约评价，为委托单位提供优质、高效服务。 </w:t>
      </w:r>
    </w:p>
    <w:p w14:paraId="635839E0">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如果违反本承诺书中任何条款，我方愿意接受：</w:t>
      </w:r>
    </w:p>
    <w:p w14:paraId="247783A0">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 xml:space="preserve">（1）视作我方单方面违约，并按照合同规定向贵方支付违约金或解除合同； </w:t>
      </w:r>
    </w:p>
    <w:p w14:paraId="19A8A01F">
      <w:pPr>
        <w:pStyle w:val="11"/>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80" w:lineRule="exact"/>
        <w:ind w:left="0" w:right="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 xml:space="preserve">（2）履约评价评定为合格及以下； </w:t>
      </w:r>
    </w:p>
    <w:p w14:paraId="243028A6">
      <w:pPr>
        <w:pStyle w:val="11"/>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80" w:lineRule="exact"/>
        <w:ind w:left="0" w:right="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 xml:space="preserve">（3）贵方今后可拒绝我方参与投标； </w:t>
      </w:r>
    </w:p>
    <w:p w14:paraId="45DA4480">
      <w:pPr>
        <w:pStyle w:val="11"/>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80" w:lineRule="exact"/>
        <w:ind w:left="0" w:right="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w:t>
      </w:r>
      <w:r>
        <w:rPr>
          <w:rFonts w:hint="eastAsia" w:ascii="仿宋_GB2312" w:hAnsi="仿宋_GB2312" w:eastAsia="仿宋_GB2312" w:cs="仿宋_GB2312"/>
          <w:sz w:val="32"/>
          <w:szCs w:val="32"/>
          <w:highlight w:val="none"/>
          <w:lang w:val="en-US" w:eastAsia="zh-CN"/>
        </w:rPr>
        <w:t>市场</w:t>
      </w:r>
      <w:r>
        <w:rPr>
          <w:rFonts w:hint="eastAsia" w:ascii="仿宋_GB2312" w:hAnsi="仿宋_GB2312" w:eastAsia="仿宋_GB2312" w:cs="仿宋_GB2312"/>
          <w:sz w:val="32"/>
          <w:szCs w:val="32"/>
          <w:highlight w:val="none"/>
        </w:rPr>
        <w:t xml:space="preserve">行政主管部门或相关主管部门的不良行为记录、行政处罚。 </w:t>
      </w:r>
    </w:p>
    <w:p w14:paraId="1EED96D1">
      <w:pPr>
        <w:pStyle w:val="11"/>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80" w:lineRule="exact"/>
        <w:ind w:left="0" w:right="0" w:firstLine="640" w:firstLineChars="200"/>
        <w:textAlignment w:val="auto"/>
        <w:rPr>
          <w:rFonts w:hint="eastAsia" w:ascii="仿宋_GB2312" w:hAnsi="仿宋_GB2312" w:eastAsia="仿宋_GB2312" w:cs="仿宋_GB2312"/>
          <w:sz w:val="32"/>
          <w:szCs w:val="32"/>
          <w:highlight w:val="none"/>
        </w:rPr>
      </w:pPr>
    </w:p>
    <w:p w14:paraId="22CD35C3">
      <w:pPr>
        <w:pStyle w:val="11"/>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80" w:lineRule="exact"/>
        <w:ind w:left="0" w:right="0" w:firstLine="640" w:firstLineChars="200"/>
        <w:textAlignment w:val="auto"/>
        <w:rPr>
          <w:rFonts w:hint="eastAsia" w:ascii="仿宋_GB2312" w:hAnsi="仿宋_GB2312" w:eastAsia="仿宋_GB2312" w:cs="仿宋_GB2312"/>
          <w:sz w:val="32"/>
          <w:szCs w:val="32"/>
          <w:highlight w:val="none"/>
        </w:rPr>
      </w:pPr>
    </w:p>
    <w:p w14:paraId="56FD97F2">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firstLine="3520" w:firstLineChars="11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 xml:space="preserve">承诺单位（盖章）： </w:t>
      </w:r>
    </w:p>
    <w:p w14:paraId="146BE6CC">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firstLine="1280" w:firstLineChars="4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 xml:space="preserve">法定代表人或授权委托人（签章）： </w:t>
      </w:r>
    </w:p>
    <w:p w14:paraId="2F593734">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firstLine="5440" w:firstLineChars="17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日期：</w:t>
      </w: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rPr>
        <w:t xml:space="preserve"> 年</w:t>
      </w: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rPr>
        <w:t xml:space="preserve"> 月</w:t>
      </w: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rPr>
        <w:t xml:space="preserve"> 日</w:t>
      </w:r>
    </w:p>
    <w:p w14:paraId="199F592D">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highlight w:val="none"/>
          <w:lang w:val="en-US" w:eastAsia="zh-CN"/>
        </w:rPr>
        <w:sectPr>
          <w:pgSz w:w="11906" w:h="16838"/>
          <w:pgMar w:top="2098" w:right="1474" w:bottom="1984" w:left="1587" w:header="851" w:footer="992" w:gutter="0"/>
          <w:pgNumType w:fmt="decimal"/>
          <w:cols w:space="720" w:num="1"/>
          <w:rtlGutter w:val="0"/>
          <w:docGrid w:type="lines" w:linePitch="312" w:charSpace="0"/>
        </w:sectPr>
      </w:pPr>
    </w:p>
    <w:p w14:paraId="141C3384">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楷体_GB2312" w:hAnsi="楷体_GB2312" w:eastAsia="楷体_GB2312" w:cs="楷体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3.投标人同类项目业绩</w:t>
      </w:r>
    </w:p>
    <w:tbl>
      <w:tblPr>
        <w:tblStyle w:val="13"/>
        <w:tblpPr w:leftFromText="180" w:rightFromText="180" w:vertAnchor="text" w:horzAnchor="page" w:tblpX="2022" w:tblpY="769"/>
        <w:tblOverlap w:val="never"/>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97"/>
        <w:gridCol w:w="1368"/>
        <w:gridCol w:w="2813"/>
        <w:gridCol w:w="1125"/>
        <w:gridCol w:w="2062"/>
      </w:tblGrid>
      <w:tr w14:paraId="5EA44F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97" w:type="dxa"/>
            <w:noWrap w:val="0"/>
            <w:vAlign w:val="center"/>
          </w:tcPr>
          <w:p w14:paraId="27FEC198">
            <w:pPr>
              <w:pStyle w:val="26"/>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序号</w:t>
            </w:r>
          </w:p>
        </w:tc>
        <w:tc>
          <w:tcPr>
            <w:tcW w:w="1368" w:type="dxa"/>
            <w:noWrap w:val="0"/>
            <w:vAlign w:val="center"/>
          </w:tcPr>
          <w:p w14:paraId="5FE1AD08">
            <w:pPr>
              <w:pStyle w:val="26"/>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客户名称</w:t>
            </w:r>
          </w:p>
        </w:tc>
        <w:tc>
          <w:tcPr>
            <w:tcW w:w="2813" w:type="dxa"/>
            <w:noWrap w:val="0"/>
            <w:vAlign w:val="center"/>
          </w:tcPr>
          <w:p w14:paraId="037B0B3B">
            <w:pPr>
              <w:pStyle w:val="26"/>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项目名称及合同金额（万元）</w:t>
            </w:r>
          </w:p>
        </w:tc>
        <w:tc>
          <w:tcPr>
            <w:tcW w:w="1125" w:type="dxa"/>
            <w:noWrap w:val="0"/>
            <w:vAlign w:val="center"/>
          </w:tcPr>
          <w:p w14:paraId="32B5128F">
            <w:pPr>
              <w:pStyle w:val="26"/>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签订合同时间</w:t>
            </w:r>
          </w:p>
        </w:tc>
        <w:tc>
          <w:tcPr>
            <w:tcW w:w="2062" w:type="dxa"/>
            <w:noWrap w:val="0"/>
            <w:vAlign w:val="center"/>
          </w:tcPr>
          <w:p w14:paraId="3DCD88C0">
            <w:pPr>
              <w:pStyle w:val="26"/>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联系人及电话</w:t>
            </w:r>
          </w:p>
        </w:tc>
      </w:tr>
      <w:tr w14:paraId="19BEDC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97" w:type="dxa"/>
            <w:noWrap w:val="0"/>
            <w:vAlign w:val="center"/>
          </w:tcPr>
          <w:p w14:paraId="5681EA49">
            <w:pPr>
              <w:pStyle w:val="26"/>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1</w:t>
            </w:r>
          </w:p>
        </w:tc>
        <w:tc>
          <w:tcPr>
            <w:tcW w:w="1368" w:type="dxa"/>
            <w:noWrap w:val="0"/>
            <w:vAlign w:val="center"/>
          </w:tcPr>
          <w:p w14:paraId="2825AE2B">
            <w:pPr>
              <w:jc w:val="center"/>
              <w:rPr>
                <w:rFonts w:hint="eastAsia" w:ascii="仿宋" w:hAnsi="仿宋" w:eastAsia="仿宋" w:cs="仿宋"/>
                <w:sz w:val="28"/>
                <w:szCs w:val="28"/>
                <w:highlight w:val="none"/>
              </w:rPr>
            </w:pPr>
          </w:p>
        </w:tc>
        <w:tc>
          <w:tcPr>
            <w:tcW w:w="2813" w:type="dxa"/>
            <w:noWrap w:val="0"/>
            <w:vAlign w:val="center"/>
          </w:tcPr>
          <w:p w14:paraId="238D069A">
            <w:pPr>
              <w:jc w:val="center"/>
              <w:rPr>
                <w:rFonts w:hint="eastAsia" w:ascii="仿宋" w:hAnsi="仿宋" w:eastAsia="仿宋" w:cs="仿宋"/>
                <w:sz w:val="28"/>
                <w:szCs w:val="28"/>
                <w:highlight w:val="none"/>
              </w:rPr>
            </w:pPr>
          </w:p>
        </w:tc>
        <w:tc>
          <w:tcPr>
            <w:tcW w:w="1125" w:type="dxa"/>
            <w:noWrap w:val="0"/>
            <w:vAlign w:val="center"/>
          </w:tcPr>
          <w:p w14:paraId="1E53CAC5">
            <w:pPr>
              <w:jc w:val="center"/>
              <w:rPr>
                <w:rFonts w:hint="eastAsia" w:ascii="仿宋" w:hAnsi="仿宋" w:eastAsia="仿宋" w:cs="仿宋"/>
                <w:sz w:val="28"/>
                <w:szCs w:val="28"/>
                <w:highlight w:val="none"/>
              </w:rPr>
            </w:pPr>
          </w:p>
        </w:tc>
        <w:tc>
          <w:tcPr>
            <w:tcW w:w="2062" w:type="dxa"/>
            <w:noWrap w:val="0"/>
            <w:vAlign w:val="center"/>
          </w:tcPr>
          <w:p w14:paraId="3E80E7BF">
            <w:pPr>
              <w:jc w:val="center"/>
              <w:rPr>
                <w:rFonts w:hint="eastAsia" w:ascii="仿宋" w:hAnsi="仿宋" w:eastAsia="仿宋" w:cs="仿宋"/>
                <w:sz w:val="28"/>
                <w:szCs w:val="28"/>
                <w:highlight w:val="none"/>
              </w:rPr>
            </w:pPr>
          </w:p>
        </w:tc>
      </w:tr>
      <w:tr w14:paraId="0F3110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97" w:type="dxa"/>
            <w:noWrap w:val="0"/>
            <w:vAlign w:val="center"/>
          </w:tcPr>
          <w:p w14:paraId="11D1FFAB">
            <w:pPr>
              <w:pStyle w:val="26"/>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2</w:t>
            </w:r>
          </w:p>
        </w:tc>
        <w:tc>
          <w:tcPr>
            <w:tcW w:w="1368" w:type="dxa"/>
            <w:noWrap w:val="0"/>
            <w:vAlign w:val="center"/>
          </w:tcPr>
          <w:p w14:paraId="6EC4E92C">
            <w:pPr>
              <w:jc w:val="center"/>
              <w:rPr>
                <w:rFonts w:hint="eastAsia" w:ascii="仿宋" w:hAnsi="仿宋" w:eastAsia="仿宋" w:cs="仿宋"/>
                <w:sz w:val="28"/>
                <w:szCs w:val="28"/>
                <w:highlight w:val="none"/>
              </w:rPr>
            </w:pPr>
          </w:p>
        </w:tc>
        <w:tc>
          <w:tcPr>
            <w:tcW w:w="2813" w:type="dxa"/>
            <w:noWrap w:val="0"/>
            <w:vAlign w:val="center"/>
          </w:tcPr>
          <w:p w14:paraId="72FD68C9">
            <w:pPr>
              <w:jc w:val="center"/>
              <w:rPr>
                <w:rFonts w:hint="eastAsia" w:ascii="仿宋" w:hAnsi="仿宋" w:eastAsia="仿宋" w:cs="仿宋"/>
                <w:sz w:val="28"/>
                <w:szCs w:val="28"/>
                <w:highlight w:val="none"/>
              </w:rPr>
            </w:pPr>
          </w:p>
        </w:tc>
        <w:tc>
          <w:tcPr>
            <w:tcW w:w="1125" w:type="dxa"/>
            <w:noWrap w:val="0"/>
            <w:vAlign w:val="center"/>
          </w:tcPr>
          <w:p w14:paraId="0FC6950B">
            <w:pPr>
              <w:jc w:val="center"/>
              <w:rPr>
                <w:rFonts w:hint="eastAsia" w:ascii="仿宋" w:hAnsi="仿宋" w:eastAsia="仿宋" w:cs="仿宋"/>
                <w:sz w:val="28"/>
                <w:szCs w:val="28"/>
                <w:highlight w:val="none"/>
              </w:rPr>
            </w:pPr>
          </w:p>
        </w:tc>
        <w:tc>
          <w:tcPr>
            <w:tcW w:w="2062" w:type="dxa"/>
            <w:noWrap w:val="0"/>
            <w:vAlign w:val="center"/>
          </w:tcPr>
          <w:p w14:paraId="536231D9">
            <w:pPr>
              <w:jc w:val="center"/>
              <w:rPr>
                <w:rFonts w:hint="eastAsia" w:ascii="仿宋" w:hAnsi="仿宋" w:eastAsia="仿宋" w:cs="仿宋"/>
                <w:sz w:val="28"/>
                <w:szCs w:val="28"/>
                <w:highlight w:val="none"/>
              </w:rPr>
            </w:pPr>
          </w:p>
        </w:tc>
      </w:tr>
      <w:tr w14:paraId="0B5D72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97" w:type="dxa"/>
            <w:noWrap w:val="0"/>
            <w:vAlign w:val="center"/>
          </w:tcPr>
          <w:p w14:paraId="2FFC1930">
            <w:pPr>
              <w:pStyle w:val="26"/>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3</w:t>
            </w:r>
          </w:p>
        </w:tc>
        <w:tc>
          <w:tcPr>
            <w:tcW w:w="1368" w:type="dxa"/>
            <w:noWrap w:val="0"/>
            <w:vAlign w:val="center"/>
          </w:tcPr>
          <w:p w14:paraId="4B970B63">
            <w:pPr>
              <w:jc w:val="center"/>
              <w:rPr>
                <w:rFonts w:hint="eastAsia" w:ascii="仿宋" w:hAnsi="仿宋" w:eastAsia="仿宋" w:cs="仿宋"/>
                <w:sz w:val="28"/>
                <w:szCs w:val="28"/>
                <w:highlight w:val="none"/>
              </w:rPr>
            </w:pPr>
          </w:p>
        </w:tc>
        <w:tc>
          <w:tcPr>
            <w:tcW w:w="2813" w:type="dxa"/>
            <w:noWrap w:val="0"/>
            <w:vAlign w:val="center"/>
          </w:tcPr>
          <w:p w14:paraId="45BF06BF">
            <w:pPr>
              <w:jc w:val="center"/>
              <w:rPr>
                <w:rFonts w:hint="eastAsia" w:ascii="仿宋" w:hAnsi="仿宋" w:eastAsia="仿宋" w:cs="仿宋"/>
                <w:sz w:val="28"/>
                <w:szCs w:val="28"/>
                <w:highlight w:val="none"/>
              </w:rPr>
            </w:pPr>
          </w:p>
        </w:tc>
        <w:tc>
          <w:tcPr>
            <w:tcW w:w="1125" w:type="dxa"/>
            <w:noWrap w:val="0"/>
            <w:vAlign w:val="center"/>
          </w:tcPr>
          <w:p w14:paraId="4CE2F326">
            <w:pPr>
              <w:jc w:val="center"/>
              <w:rPr>
                <w:rFonts w:hint="eastAsia" w:ascii="仿宋" w:hAnsi="仿宋" w:eastAsia="仿宋" w:cs="仿宋"/>
                <w:sz w:val="28"/>
                <w:szCs w:val="28"/>
                <w:highlight w:val="none"/>
              </w:rPr>
            </w:pPr>
          </w:p>
        </w:tc>
        <w:tc>
          <w:tcPr>
            <w:tcW w:w="2062" w:type="dxa"/>
            <w:noWrap w:val="0"/>
            <w:vAlign w:val="center"/>
          </w:tcPr>
          <w:p w14:paraId="23ECB1D5">
            <w:pPr>
              <w:jc w:val="center"/>
              <w:rPr>
                <w:rFonts w:hint="eastAsia" w:ascii="仿宋" w:hAnsi="仿宋" w:eastAsia="仿宋" w:cs="仿宋"/>
                <w:sz w:val="28"/>
                <w:szCs w:val="28"/>
                <w:highlight w:val="none"/>
              </w:rPr>
            </w:pPr>
          </w:p>
        </w:tc>
      </w:tr>
      <w:tr w14:paraId="6F95E3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97" w:type="dxa"/>
            <w:noWrap w:val="0"/>
            <w:vAlign w:val="center"/>
          </w:tcPr>
          <w:p w14:paraId="35716F36">
            <w:pPr>
              <w:pStyle w:val="26"/>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4</w:t>
            </w:r>
          </w:p>
        </w:tc>
        <w:tc>
          <w:tcPr>
            <w:tcW w:w="1368" w:type="dxa"/>
            <w:noWrap w:val="0"/>
            <w:vAlign w:val="center"/>
          </w:tcPr>
          <w:p w14:paraId="1EF9E8CC">
            <w:pPr>
              <w:jc w:val="center"/>
              <w:rPr>
                <w:rFonts w:hint="eastAsia" w:ascii="仿宋" w:hAnsi="仿宋" w:eastAsia="仿宋" w:cs="仿宋"/>
                <w:sz w:val="28"/>
                <w:szCs w:val="28"/>
                <w:highlight w:val="none"/>
              </w:rPr>
            </w:pPr>
          </w:p>
        </w:tc>
        <w:tc>
          <w:tcPr>
            <w:tcW w:w="2813" w:type="dxa"/>
            <w:noWrap w:val="0"/>
            <w:vAlign w:val="center"/>
          </w:tcPr>
          <w:p w14:paraId="5B815A8F">
            <w:pPr>
              <w:jc w:val="center"/>
              <w:rPr>
                <w:rFonts w:hint="eastAsia" w:ascii="仿宋" w:hAnsi="仿宋" w:eastAsia="仿宋" w:cs="仿宋"/>
                <w:sz w:val="28"/>
                <w:szCs w:val="28"/>
                <w:highlight w:val="none"/>
              </w:rPr>
            </w:pPr>
          </w:p>
        </w:tc>
        <w:tc>
          <w:tcPr>
            <w:tcW w:w="1125" w:type="dxa"/>
            <w:noWrap w:val="0"/>
            <w:vAlign w:val="center"/>
          </w:tcPr>
          <w:p w14:paraId="3A8E1BA5">
            <w:pPr>
              <w:jc w:val="center"/>
              <w:rPr>
                <w:rFonts w:hint="eastAsia" w:ascii="仿宋" w:hAnsi="仿宋" w:eastAsia="仿宋" w:cs="仿宋"/>
                <w:sz w:val="28"/>
                <w:szCs w:val="28"/>
                <w:highlight w:val="none"/>
              </w:rPr>
            </w:pPr>
          </w:p>
        </w:tc>
        <w:tc>
          <w:tcPr>
            <w:tcW w:w="2062" w:type="dxa"/>
            <w:noWrap w:val="0"/>
            <w:vAlign w:val="center"/>
          </w:tcPr>
          <w:p w14:paraId="44D6A105">
            <w:pPr>
              <w:jc w:val="center"/>
              <w:rPr>
                <w:rFonts w:hint="eastAsia" w:ascii="仿宋" w:hAnsi="仿宋" w:eastAsia="仿宋" w:cs="仿宋"/>
                <w:sz w:val="28"/>
                <w:szCs w:val="28"/>
                <w:highlight w:val="none"/>
              </w:rPr>
            </w:pPr>
          </w:p>
        </w:tc>
      </w:tr>
    </w:tbl>
    <w:p w14:paraId="3FC8B17E">
      <w:pPr>
        <w:pStyle w:val="26"/>
        <w:jc w:val="center"/>
        <w:outlineLvl w:val="3"/>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投标人业绩情况表</w:t>
      </w:r>
    </w:p>
    <w:p w14:paraId="37A60FE5">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根据上述业绩情况，按</w:t>
      </w:r>
      <w:r>
        <w:rPr>
          <w:rFonts w:hint="eastAsia" w:ascii="仿宋" w:hAnsi="仿宋" w:eastAsia="仿宋" w:cs="仿宋"/>
          <w:b w:val="0"/>
          <w:bCs w:val="0"/>
          <w:sz w:val="24"/>
          <w:szCs w:val="24"/>
          <w:highlight w:val="none"/>
          <w:lang w:val="en-US" w:eastAsia="zh-CN"/>
        </w:rPr>
        <w:t>遴选</w:t>
      </w:r>
      <w:r>
        <w:rPr>
          <w:rFonts w:hint="eastAsia" w:ascii="仿宋" w:hAnsi="仿宋" w:eastAsia="仿宋" w:cs="仿宋"/>
          <w:b w:val="0"/>
          <w:bCs w:val="0"/>
          <w:sz w:val="24"/>
          <w:szCs w:val="24"/>
          <w:highlight w:val="none"/>
        </w:rPr>
        <w:t>文件要求附销售或服务合同复印件及评审标准要求的证明材料</w:t>
      </w:r>
    </w:p>
    <w:p w14:paraId="3B8B643D">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highlight w:val="none"/>
          <w:lang w:val="en-US" w:eastAsia="zh-CN"/>
        </w:rPr>
      </w:pPr>
      <w:r>
        <w:rPr>
          <w:rFonts w:hint="eastAsia" w:ascii="仿宋" w:hAnsi="仿宋" w:eastAsia="仿宋" w:cs="仿宋"/>
          <w:b w:val="0"/>
          <w:bCs w:val="0"/>
          <w:sz w:val="24"/>
          <w:szCs w:val="24"/>
          <w:highlight w:val="none"/>
        </w:rPr>
        <w:t>注：提供项目合同关键页（应包含但不限于合同甲乙双方名称、服务项目名称、涉及业绩的服务内容、服务期限、签订合同时间、甲乙双方公章等关键信息）扫描件</w:t>
      </w:r>
      <w:r>
        <w:rPr>
          <w:rFonts w:hint="eastAsia" w:ascii="仿宋" w:hAnsi="仿宋" w:eastAsia="仿宋" w:cs="仿宋"/>
          <w:b w:val="0"/>
          <w:bCs w:val="0"/>
          <w:sz w:val="24"/>
          <w:szCs w:val="24"/>
          <w:highlight w:val="none"/>
          <w:lang w:val="en-US" w:eastAsia="zh-CN"/>
        </w:rPr>
        <w:t>加盖公章</w:t>
      </w:r>
      <w:r>
        <w:rPr>
          <w:rFonts w:hint="eastAsia" w:ascii="仿宋" w:hAnsi="仿宋" w:eastAsia="仿宋" w:cs="仿宋"/>
          <w:b w:val="0"/>
          <w:bCs w:val="0"/>
          <w:sz w:val="24"/>
          <w:szCs w:val="24"/>
          <w:highlight w:val="none"/>
        </w:rPr>
        <w:t>，原件备查。</w:t>
      </w:r>
      <w:r>
        <w:rPr>
          <w:rFonts w:hint="eastAsia" w:ascii="仿宋" w:hAnsi="仿宋" w:eastAsia="仿宋" w:cs="仿宋"/>
          <w:b w:val="0"/>
          <w:bCs w:val="0"/>
          <w:sz w:val="24"/>
          <w:szCs w:val="24"/>
          <w:highlight w:val="none"/>
          <w:lang w:val="en-US" w:eastAsia="zh-CN"/>
        </w:rPr>
        <w:t>采购人</w:t>
      </w:r>
      <w:r>
        <w:rPr>
          <w:rFonts w:hint="eastAsia" w:ascii="仿宋" w:hAnsi="仿宋" w:eastAsia="仿宋" w:cs="仿宋"/>
          <w:b w:val="0"/>
          <w:bCs w:val="0"/>
          <w:sz w:val="24"/>
          <w:szCs w:val="24"/>
          <w:highlight w:val="none"/>
        </w:rPr>
        <w:t>有权对投标人提供的资料真实性进行核查。</w:t>
      </w:r>
    </w:p>
    <w:p w14:paraId="328F742A">
      <w:pPr>
        <w:rPr>
          <w:rFonts w:hint="eastAsia" w:ascii="楷体_GB2312" w:hAnsi="楷体_GB2312" w:eastAsia="楷体_GB2312" w:cs="楷体_GB2312"/>
          <w:kern w:val="2"/>
          <w:sz w:val="32"/>
          <w:szCs w:val="32"/>
          <w:highlight w:val="none"/>
          <w:lang w:val="en-US" w:eastAsia="zh-CN" w:bidi="ar-SA"/>
        </w:rPr>
      </w:pPr>
      <w:r>
        <w:rPr>
          <w:rFonts w:hint="eastAsia" w:ascii="楷体_GB2312" w:hAnsi="楷体_GB2312" w:eastAsia="楷体_GB2312" w:cs="楷体_GB2312"/>
          <w:kern w:val="2"/>
          <w:sz w:val="32"/>
          <w:szCs w:val="32"/>
          <w:highlight w:val="none"/>
          <w:lang w:val="en-US" w:eastAsia="zh-CN" w:bidi="ar-SA"/>
        </w:rPr>
        <w:br w:type="page"/>
      </w:r>
    </w:p>
    <w:p w14:paraId="29260840">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left"/>
        <w:textAlignment w:val="auto"/>
        <w:rPr>
          <w:rFonts w:hint="eastAsia" w:ascii="楷体_GB2312" w:hAnsi="楷体_GB2312" w:eastAsia="楷体_GB2312" w:cs="楷体_GB2312"/>
          <w:b/>
          <w:bCs/>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4.授权情况及资质要求</w:t>
      </w:r>
    </w:p>
    <w:p w14:paraId="57A39000">
      <w:pPr>
        <w:pStyle w:val="5"/>
        <w:keepNext w:val="0"/>
        <w:keepLines w:val="0"/>
        <w:pageBreakBefore w:val="0"/>
        <w:numPr>
          <w:ilvl w:val="0"/>
          <w:numId w:val="0"/>
        </w:numPr>
        <w:kinsoku/>
        <w:wordWrap/>
        <w:overflowPunct/>
        <w:topLinePunct w:val="0"/>
        <w:autoSpaceDE/>
        <w:autoSpaceDN/>
        <w:bidi w:val="0"/>
        <w:adjustRightInd/>
        <w:snapToGrid/>
        <w:spacing w:after="0" w:line="480" w:lineRule="auto"/>
        <w:jc w:val="center"/>
        <w:textAlignment w:val="auto"/>
        <w:rPr>
          <w:rFonts w:hint="eastAsia" w:ascii="楷体_GB2312" w:hAnsi="楷体_GB2312" w:eastAsia="楷体_GB2312" w:cs="楷体_GB2312"/>
          <w:b/>
          <w:bCs/>
          <w:kern w:val="2"/>
          <w:sz w:val="32"/>
          <w:szCs w:val="32"/>
          <w:highlight w:val="none"/>
          <w:lang w:val="en-US" w:eastAsia="zh-CN" w:bidi="ar-SA"/>
        </w:rPr>
      </w:pPr>
      <w:r>
        <w:rPr>
          <w:rFonts w:hint="eastAsia" w:ascii="楷体_GB2312" w:hAnsi="楷体_GB2312" w:eastAsia="楷体_GB2312" w:cs="楷体_GB2312"/>
          <w:sz w:val="32"/>
          <w:szCs w:val="32"/>
          <w:highlight w:val="none"/>
          <w:lang w:val="en-US" w:eastAsia="zh-CN"/>
        </w:rPr>
        <w:t>（格式内容自拟）</w:t>
      </w:r>
    </w:p>
    <w:p w14:paraId="3BA23E3B">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left"/>
        <w:textAlignment w:val="auto"/>
        <w:rPr>
          <w:rFonts w:hint="default" w:ascii="楷体_GB2312" w:hAnsi="楷体_GB2312" w:eastAsia="楷体_GB2312" w:cs="楷体_GB2312"/>
          <w:b/>
          <w:bCs/>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5.场地情况</w:t>
      </w:r>
    </w:p>
    <w:p w14:paraId="65F902C8">
      <w:pPr>
        <w:pStyle w:val="5"/>
        <w:keepNext w:val="0"/>
        <w:keepLines w:val="0"/>
        <w:pageBreakBefore w:val="0"/>
        <w:numPr>
          <w:ilvl w:val="0"/>
          <w:numId w:val="0"/>
        </w:numPr>
        <w:kinsoku/>
        <w:wordWrap/>
        <w:overflowPunct/>
        <w:topLinePunct w:val="0"/>
        <w:autoSpaceDE/>
        <w:autoSpaceDN/>
        <w:bidi w:val="0"/>
        <w:adjustRightInd/>
        <w:snapToGrid/>
        <w:spacing w:after="0" w:line="480" w:lineRule="auto"/>
        <w:jc w:val="center"/>
        <w:textAlignment w:val="auto"/>
        <w:rPr>
          <w:rFonts w:hint="eastAsia" w:ascii="楷体_GB2312" w:hAnsi="楷体_GB2312" w:eastAsia="楷体_GB2312" w:cs="楷体_GB2312"/>
          <w:b/>
          <w:bCs/>
          <w:kern w:val="2"/>
          <w:sz w:val="32"/>
          <w:szCs w:val="32"/>
          <w:highlight w:val="none"/>
          <w:lang w:val="en-US" w:eastAsia="zh-CN" w:bidi="ar-SA"/>
        </w:rPr>
      </w:pPr>
      <w:r>
        <w:rPr>
          <w:rFonts w:hint="eastAsia" w:ascii="楷体_GB2312" w:hAnsi="楷体_GB2312" w:eastAsia="楷体_GB2312" w:cs="楷体_GB2312"/>
          <w:sz w:val="32"/>
          <w:szCs w:val="32"/>
          <w:highlight w:val="none"/>
          <w:lang w:val="en-US" w:eastAsia="zh-CN"/>
        </w:rPr>
        <w:t>（格式内容自拟）</w:t>
      </w:r>
    </w:p>
    <w:p w14:paraId="36DE150C">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left"/>
        <w:textAlignment w:val="auto"/>
        <w:rPr>
          <w:rFonts w:hint="eastAsia" w:ascii="楷体_GB2312" w:hAnsi="楷体_GB2312" w:eastAsia="楷体_GB2312" w:cs="楷体_GB2312"/>
          <w:b/>
          <w:bCs/>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6.自有维修设备及仓库情况</w:t>
      </w:r>
    </w:p>
    <w:p w14:paraId="584D6C8D">
      <w:pPr>
        <w:pStyle w:val="5"/>
        <w:keepNext w:val="0"/>
        <w:keepLines w:val="0"/>
        <w:pageBreakBefore w:val="0"/>
        <w:numPr>
          <w:ilvl w:val="0"/>
          <w:numId w:val="0"/>
        </w:numPr>
        <w:kinsoku/>
        <w:wordWrap/>
        <w:overflowPunct/>
        <w:topLinePunct w:val="0"/>
        <w:autoSpaceDE/>
        <w:autoSpaceDN/>
        <w:bidi w:val="0"/>
        <w:adjustRightInd/>
        <w:snapToGrid/>
        <w:spacing w:after="0" w:line="480" w:lineRule="auto"/>
        <w:jc w:val="center"/>
        <w:textAlignment w:val="auto"/>
        <w:rPr>
          <w:rFonts w:hint="eastAsia" w:ascii="楷体_GB2312" w:hAnsi="楷体_GB2312" w:eastAsia="楷体_GB2312" w:cs="楷体_GB2312"/>
          <w:b/>
          <w:bCs/>
          <w:kern w:val="2"/>
          <w:sz w:val="32"/>
          <w:szCs w:val="32"/>
          <w:highlight w:val="none"/>
          <w:lang w:val="en-US" w:eastAsia="zh-CN" w:bidi="ar-SA"/>
        </w:rPr>
      </w:pPr>
      <w:r>
        <w:rPr>
          <w:rFonts w:hint="eastAsia" w:ascii="楷体_GB2312" w:hAnsi="楷体_GB2312" w:eastAsia="楷体_GB2312" w:cs="楷体_GB2312"/>
          <w:sz w:val="32"/>
          <w:szCs w:val="32"/>
          <w:highlight w:val="none"/>
          <w:lang w:val="en-US" w:eastAsia="zh-CN"/>
        </w:rPr>
        <w:t>（格式内容自拟）</w:t>
      </w:r>
    </w:p>
    <w:p w14:paraId="03C3ACA8">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left"/>
        <w:textAlignment w:val="auto"/>
        <w:rPr>
          <w:rFonts w:hint="default" w:ascii="楷体_GB2312" w:hAnsi="楷体_GB2312" w:eastAsia="楷体_GB2312" w:cs="楷体_GB2312"/>
          <w:b/>
          <w:bCs/>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7.拟投入本项目使用的车辆情况</w:t>
      </w:r>
    </w:p>
    <w:p w14:paraId="55F13BB7">
      <w:pPr>
        <w:pStyle w:val="5"/>
        <w:keepNext w:val="0"/>
        <w:keepLines w:val="0"/>
        <w:pageBreakBefore w:val="0"/>
        <w:numPr>
          <w:ilvl w:val="0"/>
          <w:numId w:val="0"/>
        </w:numPr>
        <w:kinsoku/>
        <w:wordWrap/>
        <w:overflowPunct/>
        <w:topLinePunct w:val="0"/>
        <w:autoSpaceDE/>
        <w:autoSpaceDN/>
        <w:bidi w:val="0"/>
        <w:adjustRightInd/>
        <w:snapToGrid/>
        <w:spacing w:after="0" w:line="480" w:lineRule="auto"/>
        <w:jc w:val="center"/>
        <w:textAlignment w:val="auto"/>
        <w:rPr>
          <w:rFonts w:hint="eastAsia" w:ascii="楷体_GB2312" w:hAnsi="楷体_GB2312" w:eastAsia="楷体_GB2312" w:cs="楷体_GB2312"/>
          <w:b/>
          <w:bCs/>
          <w:kern w:val="2"/>
          <w:sz w:val="32"/>
          <w:szCs w:val="32"/>
          <w:highlight w:val="none"/>
          <w:lang w:val="en-US" w:eastAsia="zh-CN" w:bidi="ar-SA"/>
        </w:rPr>
      </w:pPr>
      <w:r>
        <w:rPr>
          <w:rFonts w:hint="eastAsia" w:ascii="楷体_GB2312" w:hAnsi="楷体_GB2312" w:eastAsia="楷体_GB2312" w:cs="楷体_GB2312"/>
          <w:sz w:val="32"/>
          <w:szCs w:val="32"/>
          <w:highlight w:val="none"/>
          <w:lang w:val="en-US" w:eastAsia="zh-CN"/>
        </w:rPr>
        <w:t>（格式内容自拟）</w:t>
      </w:r>
    </w:p>
    <w:p w14:paraId="0C5EDDDB">
      <w:pPr>
        <w:pStyle w:val="5"/>
        <w:keepNext w:val="0"/>
        <w:keepLines w:val="0"/>
        <w:pageBreakBefore w:val="0"/>
        <w:numPr>
          <w:ilvl w:val="0"/>
          <w:numId w:val="0"/>
        </w:numPr>
        <w:kinsoku/>
        <w:wordWrap/>
        <w:overflowPunct/>
        <w:topLinePunct w:val="0"/>
        <w:autoSpaceDE/>
        <w:autoSpaceDN/>
        <w:bidi w:val="0"/>
        <w:adjustRightInd/>
        <w:snapToGrid/>
        <w:spacing w:after="0" w:line="480" w:lineRule="auto"/>
        <w:jc w:val="left"/>
        <w:textAlignment w:val="auto"/>
        <w:rPr>
          <w:rFonts w:hint="eastAsia" w:ascii="楷体_GB2312" w:hAnsi="楷体_GB2312" w:eastAsia="楷体_GB2312" w:cs="楷体_GB2312"/>
          <w:b/>
          <w:bCs/>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8.安全生产标准化认证情况</w:t>
      </w:r>
    </w:p>
    <w:p w14:paraId="40D77213">
      <w:pPr>
        <w:pStyle w:val="5"/>
        <w:keepNext w:val="0"/>
        <w:keepLines w:val="0"/>
        <w:pageBreakBefore w:val="0"/>
        <w:numPr>
          <w:ilvl w:val="0"/>
          <w:numId w:val="0"/>
        </w:numPr>
        <w:kinsoku/>
        <w:wordWrap/>
        <w:overflowPunct/>
        <w:topLinePunct w:val="0"/>
        <w:autoSpaceDE/>
        <w:autoSpaceDN/>
        <w:bidi w:val="0"/>
        <w:adjustRightInd/>
        <w:snapToGrid/>
        <w:spacing w:after="0" w:line="480" w:lineRule="auto"/>
        <w:jc w:val="center"/>
        <w:textAlignment w:val="auto"/>
        <w:rPr>
          <w:rFonts w:hint="eastAsia" w:ascii="楷体_GB2312" w:hAnsi="楷体_GB2312" w:eastAsia="楷体_GB2312" w:cs="楷体_GB2312"/>
          <w:b/>
          <w:bCs/>
          <w:kern w:val="2"/>
          <w:sz w:val="32"/>
          <w:szCs w:val="32"/>
          <w:highlight w:val="none"/>
          <w:lang w:val="en-US" w:eastAsia="zh-CN" w:bidi="ar-SA"/>
        </w:rPr>
      </w:pPr>
      <w:r>
        <w:rPr>
          <w:rFonts w:hint="eastAsia" w:ascii="楷体_GB2312" w:hAnsi="楷体_GB2312" w:eastAsia="楷体_GB2312" w:cs="楷体_GB2312"/>
          <w:sz w:val="32"/>
          <w:szCs w:val="32"/>
          <w:highlight w:val="none"/>
          <w:lang w:val="en-US" w:eastAsia="zh-CN"/>
        </w:rPr>
        <w:t>（格式内容自拟）</w:t>
      </w:r>
    </w:p>
    <w:p w14:paraId="63EF1EB6">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left"/>
        <w:textAlignment w:val="auto"/>
        <w:rPr>
          <w:rFonts w:hint="default" w:ascii="楷体_GB2312" w:hAnsi="楷体_GB2312" w:eastAsia="楷体_GB2312" w:cs="楷体_GB2312"/>
          <w:b/>
          <w:bCs/>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9.拟安排的项目负责人情况</w:t>
      </w:r>
    </w:p>
    <w:p w14:paraId="32DBA25D">
      <w:pPr>
        <w:pStyle w:val="5"/>
        <w:keepNext w:val="0"/>
        <w:keepLines w:val="0"/>
        <w:pageBreakBefore w:val="0"/>
        <w:numPr>
          <w:ilvl w:val="0"/>
          <w:numId w:val="0"/>
        </w:numPr>
        <w:kinsoku/>
        <w:wordWrap/>
        <w:overflowPunct/>
        <w:topLinePunct w:val="0"/>
        <w:autoSpaceDE/>
        <w:autoSpaceDN/>
        <w:bidi w:val="0"/>
        <w:adjustRightInd/>
        <w:snapToGrid/>
        <w:spacing w:after="0" w:line="480" w:lineRule="auto"/>
        <w:jc w:val="center"/>
        <w:textAlignment w:val="auto"/>
        <w:rPr>
          <w:rFonts w:hint="eastAsia" w:ascii="楷体_GB2312" w:hAnsi="楷体_GB2312" w:eastAsia="楷体_GB2312" w:cs="楷体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（格式内容自拟）</w:t>
      </w:r>
    </w:p>
    <w:p w14:paraId="3B73E63E">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left"/>
        <w:textAlignment w:val="auto"/>
        <w:rPr>
          <w:rFonts w:hint="default" w:ascii="楷体_GB2312" w:hAnsi="楷体_GB2312" w:eastAsia="楷体_GB2312" w:cs="楷体_GB2312"/>
          <w:b/>
          <w:bCs/>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10.拟安排的团队成员维修技术人员情况</w:t>
      </w:r>
    </w:p>
    <w:p w14:paraId="14540CA3">
      <w:pPr>
        <w:pStyle w:val="5"/>
        <w:keepNext w:val="0"/>
        <w:keepLines w:val="0"/>
        <w:pageBreakBefore w:val="0"/>
        <w:numPr>
          <w:ilvl w:val="0"/>
          <w:numId w:val="0"/>
        </w:numPr>
        <w:kinsoku/>
        <w:wordWrap/>
        <w:overflowPunct/>
        <w:topLinePunct w:val="0"/>
        <w:autoSpaceDE/>
        <w:autoSpaceDN/>
        <w:bidi w:val="0"/>
        <w:adjustRightInd/>
        <w:snapToGrid/>
        <w:spacing w:after="0" w:line="480" w:lineRule="auto"/>
        <w:jc w:val="center"/>
        <w:textAlignment w:val="auto"/>
        <w:rPr>
          <w:rFonts w:hint="eastAsia" w:ascii="楷体_GB2312" w:hAnsi="楷体_GB2312" w:eastAsia="楷体_GB2312" w:cs="楷体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（格式内容自拟）</w:t>
      </w:r>
    </w:p>
    <w:p w14:paraId="4E6C0964">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left"/>
        <w:textAlignment w:val="auto"/>
        <w:rPr>
          <w:rFonts w:hint="default" w:ascii="楷体_GB2312" w:hAnsi="楷体_GB2312" w:eastAsia="楷体_GB2312" w:cs="楷体_GB2312"/>
          <w:b/>
          <w:bCs/>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11.维修服务方案</w:t>
      </w:r>
    </w:p>
    <w:p w14:paraId="713E79EE">
      <w:pPr>
        <w:pStyle w:val="5"/>
        <w:keepNext w:val="0"/>
        <w:keepLines w:val="0"/>
        <w:pageBreakBefore w:val="0"/>
        <w:numPr>
          <w:ilvl w:val="0"/>
          <w:numId w:val="0"/>
        </w:numPr>
        <w:kinsoku/>
        <w:wordWrap/>
        <w:overflowPunct/>
        <w:topLinePunct w:val="0"/>
        <w:autoSpaceDE/>
        <w:autoSpaceDN/>
        <w:bidi w:val="0"/>
        <w:adjustRightInd/>
        <w:snapToGrid/>
        <w:spacing w:after="0" w:line="480" w:lineRule="auto"/>
        <w:jc w:val="center"/>
        <w:textAlignment w:val="auto"/>
        <w:rPr>
          <w:rFonts w:hint="eastAsia" w:ascii="楷体_GB2312" w:hAnsi="楷体_GB2312" w:eastAsia="楷体_GB2312" w:cs="楷体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（格式内容自拟）</w:t>
      </w:r>
    </w:p>
    <w:p w14:paraId="603473D6">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left"/>
        <w:textAlignment w:val="auto"/>
        <w:rPr>
          <w:rFonts w:hint="default" w:ascii="楷体_GB2312" w:hAnsi="楷体_GB2312" w:eastAsia="楷体_GB2312" w:cs="楷体_GB2312"/>
          <w:b/>
          <w:bCs/>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12.应急服务承诺</w:t>
      </w:r>
    </w:p>
    <w:p w14:paraId="35BA1E47">
      <w:pPr>
        <w:pStyle w:val="5"/>
        <w:keepNext w:val="0"/>
        <w:keepLines w:val="0"/>
        <w:pageBreakBefore w:val="0"/>
        <w:numPr>
          <w:ilvl w:val="0"/>
          <w:numId w:val="0"/>
        </w:numPr>
        <w:kinsoku/>
        <w:wordWrap/>
        <w:overflowPunct/>
        <w:topLinePunct w:val="0"/>
        <w:autoSpaceDE/>
        <w:autoSpaceDN/>
        <w:bidi w:val="0"/>
        <w:adjustRightInd/>
        <w:snapToGrid/>
        <w:spacing w:after="0" w:line="480" w:lineRule="auto"/>
        <w:jc w:val="center"/>
        <w:textAlignment w:val="auto"/>
        <w:rPr>
          <w:rFonts w:hint="eastAsia" w:ascii="楷体_GB2312" w:hAnsi="楷体_GB2312" w:eastAsia="楷体_GB2312" w:cs="楷体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（格式内容自拟）</w:t>
      </w:r>
    </w:p>
    <w:p w14:paraId="3258CDCD">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left"/>
        <w:textAlignment w:val="auto"/>
        <w:rPr>
          <w:rFonts w:hint="default" w:ascii="楷体_GB2312" w:hAnsi="楷体_GB2312" w:eastAsia="楷体_GB2312" w:cs="楷体_GB2312"/>
          <w:b/>
          <w:bCs/>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13.维修服务质量承诺</w:t>
      </w:r>
    </w:p>
    <w:p w14:paraId="07070ABE">
      <w:pPr>
        <w:pStyle w:val="5"/>
        <w:keepNext w:val="0"/>
        <w:keepLines w:val="0"/>
        <w:pageBreakBefore w:val="0"/>
        <w:numPr>
          <w:ilvl w:val="0"/>
          <w:numId w:val="0"/>
        </w:numPr>
        <w:kinsoku/>
        <w:wordWrap/>
        <w:overflowPunct/>
        <w:topLinePunct w:val="0"/>
        <w:autoSpaceDE/>
        <w:autoSpaceDN/>
        <w:bidi w:val="0"/>
        <w:adjustRightInd/>
        <w:snapToGrid/>
        <w:spacing w:after="0" w:line="480" w:lineRule="auto"/>
        <w:jc w:val="center"/>
        <w:textAlignment w:val="auto"/>
        <w:rPr>
          <w:rFonts w:hint="eastAsia" w:ascii="楷体_GB2312" w:hAnsi="楷体_GB2312" w:eastAsia="楷体_GB2312" w:cs="楷体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（格式内容自拟）</w:t>
      </w:r>
    </w:p>
    <w:p w14:paraId="143CF45C">
      <w:pPr>
        <w:pStyle w:val="12"/>
        <w:rPr>
          <w:rFonts w:hint="eastAsia"/>
          <w:highlight w:val="none"/>
          <w:lang w:val="en-US" w:eastAsia="zh-CN"/>
        </w:rPr>
      </w:pPr>
    </w:p>
    <w:p w14:paraId="316D7FC6">
      <w:pPr>
        <w:pStyle w:val="12"/>
        <w:rPr>
          <w:rFonts w:hint="eastAsia"/>
          <w:highlight w:val="none"/>
          <w:lang w:val="en-US" w:eastAsia="zh-CN"/>
        </w:rPr>
        <w:sectPr>
          <w:pgSz w:w="11906" w:h="16838"/>
          <w:pgMar w:top="2098" w:right="1417" w:bottom="1984" w:left="1587" w:header="851" w:footer="992" w:gutter="0"/>
          <w:cols w:space="425" w:num="1"/>
          <w:docGrid w:type="lines" w:linePitch="312" w:charSpace="0"/>
        </w:sectPr>
      </w:pPr>
    </w:p>
    <w:p w14:paraId="7DED2745">
      <w:pPr>
        <w:pStyle w:val="12"/>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highlight w:val="none"/>
          <w:lang w:val="en-US" w:eastAsia="zh-CN"/>
        </w:rPr>
      </w:pPr>
      <w:r>
        <w:rPr>
          <w:rFonts w:hint="eastAsia" w:ascii="楷体_GB2312" w:hAnsi="楷体_GB2312" w:eastAsia="楷体_GB2312" w:cs="楷体_GB2312"/>
          <w:sz w:val="32"/>
          <w:szCs w:val="32"/>
          <w:highlight w:val="none"/>
          <w:lang w:val="en-US" w:eastAsia="zh-CN"/>
        </w:rPr>
        <w:t>14.投标报价一览表</w:t>
      </w:r>
    </w:p>
    <w:p w14:paraId="1210FD79">
      <w:pPr>
        <w:pStyle w:val="7"/>
        <w:keepNext w:val="0"/>
        <w:keepLines w:val="0"/>
        <w:pageBreakBefore w:val="0"/>
        <w:widowControl w:val="0"/>
        <w:kinsoku/>
        <w:wordWrap/>
        <w:overflowPunct/>
        <w:topLinePunct w:val="0"/>
        <w:bidi w:val="0"/>
        <w:adjustRightInd w:val="0"/>
        <w:snapToGrid w:val="0"/>
        <w:spacing w:line="560" w:lineRule="exac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致</w:t>
      </w:r>
      <w:r>
        <w:rPr>
          <w:rFonts w:hint="eastAsia" w:ascii="仿宋_GB2312" w:hAnsi="仿宋_GB2312" w:eastAsia="仿宋_GB2312" w:cs="仿宋_GB2312"/>
          <w:sz w:val="32"/>
          <w:szCs w:val="32"/>
          <w:highlight w:val="none"/>
          <w:lang w:val="en-US" w:eastAsia="zh-CN"/>
        </w:rPr>
        <w:t>采购</w:t>
      </w:r>
      <w:r>
        <w:rPr>
          <w:rFonts w:hint="eastAsia" w:ascii="仿宋_GB2312" w:hAnsi="仿宋_GB2312" w:eastAsia="仿宋_GB2312" w:cs="仿宋_GB2312"/>
          <w:sz w:val="32"/>
          <w:szCs w:val="32"/>
          <w:highlight w:val="none"/>
        </w:rPr>
        <w:t>人</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u w:val="single"/>
        </w:rPr>
        <w:t>深圳市龙华环境有限公司</w:t>
      </w:r>
    </w:p>
    <w:p w14:paraId="4135C2A4">
      <w:pPr>
        <w:pStyle w:val="7"/>
        <w:keepNext w:val="0"/>
        <w:keepLines w:val="0"/>
        <w:pageBreakBefore w:val="0"/>
        <w:widowControl w:val="0"/>
        <w:kinsoku/>
        <w:wordWrap/>
        <w:overflowPunct/>
        <w:topLinePunct w:val="0"/>
        <w:autoSpaceDE w:val="0"/>
        <w:autoSpaceDN w:val="0"/>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经分析研究</w:t>
      </w:r>
      <w:r>
        <w:rPr>
          <w:rFonts w:hint="eastAsia" w:ascii="仿宋_GB2312" w:hAnsi="仿宋_GB2312" w:eastAsia="仿宋_GB2312" w:cs="仿宋_GB2312"/>
          <w:sz w:val="32"/>
          <w:szCs w:val="32"/>
          <w:highlight w:val="none"/>
          <w:lang w:val="en-US" w:eastAsia="zh-CN"/>
        </w:rPr>
        <w:t>采购</w:t>
      </w:r>
      <w:r>
        <w:rPr>
          <w:rFonts w:hint="eastAsia" w:ascii="仿宋_GB2312" w:hAnsi="仿宋_GB2312" w:eastAsia="仿宋_GB2312" w:cs="仿宋_GB2312"/>
          <w:sz w:val="32"/>
          <w:szCs w:val="32"/>
          <w:highlight w:val="none"/>
        </w:rPr>
        <w:t>人提供的本次</w:t>
      </w:r>
      <w:r>
        <w:rPr>
          <w:rFonts w:hint="eastAsia" w:ascii="仿宋_GB2312" w:hAnsi="仿宋_GB2312" w:eastAsia="仿宋_GB2312" w:cs="仿宋_GB2312"/>
          <w:sz w:val="32"/>
          <w:szCs w:val="32"/>
          <w:highlight w:val="none"/>
          <w:lang w:val="en-US" w:eastAsia="zh-CN"/>
        </w:rPr>
        <w:t>遴选</w:t>
      </w:r>
      <w:r>
        <w:rPr>
          <w:rFonts w:hint="eastAsia" w:ascii="仿宋_GB2312" w:hAnsi="仿宋_GB2312" w:eastAsia="仿宋_GB2312" w:cs="仿宋_GB2312"/>
          <w:sz w:val="32"/>
          <w:szCs w:val="32"/>
          <w:highlight w:val="none"/>
        </w:rPr>
        <w:t>公告内容，本投标人就</w:t>
      </w:r>
      <w:r>
        <w:rPr>
          <w:rFonts w:hint="eastAsia" w:ascii="仿宋_GB2312" w:hAnsi="仿宋_GB2312" w:eastAsia="仿宋_GB2312" w:cs="仿宋_GB2312"/>
          <w:sz w:val="32"/>
          <w:szCs w:val="32"/>
          <w:highlight w:val="none"/>
          <w:u w:val="single"/>
        </w:rPr>
        <w:t>新能源车辆三电系统定点维修服务采购</w:t>
      </w:r>
      <w:r>
        <w:rPr>
          <w:rFonts w:hint="eastAsia" w:ascii="仿宋_GB2312" w:hAnsi="仿宋_GB2312" w:eastAsia="仿宋_GB2312" w:cs="仿宋_GB2312"/>
          <w:sz w:val="32"/>
          <w:szCs w:val="32"/>
          <w:highlight w:val="none"/>
        </w:rPr>
        <w:t>的报价见下表所列：</w:t>
      </w:r>
    </w:p>
    <w:tbl>
      <w:tblPr>
        <w:tblStyle w:val="14"/>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6"/>
        <w:gridCol w:w="1939"/>
        <w:gridCol w:w="1916"/>
        <w:gridCol w:w="2717"/>
      </w:tblGrid>
      <w:tr w14:paraId="64563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trPr>
        <w:tc>
          <w:tcPr>
            <w:tcW w:w="3066" w:type="dxa"/>
            <w:vAlign w:val="center"/>
          </w:tcPr>
          <w:p w14:paraId="4DCE0290">
            <w:pPr>
              <w:keepNext w:val="0"/>
              <w:keepLines w:val="0"/>
              <w:pageBreakBefore w:val="0"/>
              <w:widowControl w:val="0"/>
              <w:kinsoku/>
              <w:wordWrap/>
              <w:overflowPunct/>
              <w:topLinePunct w:val="0"/>
              <w:bidi w:val="0"/>
              <w:adjustRightInd w:val="0"/>
              <w:snapToGrid w:val="0"/>
              <w:spacing w:line="560" w:lineRule="exact"/>
              <w:jc w:val="center"/>
              <w:textAlignment w:val="auto"/>
              <w:rPr>
                <w:rFonts w:hint="default"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项目名称</w:t>
            </w:r>
          </w:p>
        </w:tc>
        <w:tc>
          <w:tcPr>
            <w:tcW w:w="1939" w:type="dxa"/>
            <w:vAlign w:val="center"/>
          </w:tcPr>
          <w:p w14:paraId="798C2025">
            <w:pPr>
              <w:keepNext w:val="0"/>
              <w:keepLines w:val="0"/>
              <w:pageBreakBefore w:val="0"/>
              <w:widowControl w:val="0"/>
              <w:kinsoku/>
              <w:wordWrap/>
              <w:overflowPunct/>
              <w:topLinePunct w:val="0"/>
              <w:bidi w:val="0"/>
              <w:adjustRightInd w:val="0"/>
              <w:snapToGrid w:val="0"/>
              <w:spacing w:line="560" w:lineRule="exact"/>
              <w:jc w:val="center"/>
              <w:textAlignment w:val="auto"/>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投标上限价</w:t>
            </w:r>
          </w:p>
          <w:p w14:paraId="2FF52D65">
            <w:pPr>
              <w:keepNext w:val="0"/>
              <w:keepLines w:val="0"/>
              <w:pageBreakBefore w:val="0"/>
              <w:widowControl w:val="0"/>
              <w:kinsoku/>
              <w:wordWrap/>
              <w:overflowPunct/>
              <w:topLinePunct w:val="0"/>
              <w:bidi w:val="0"/>
              <w:adjustRightInd w:val="0"/>
              <w:snapToGrid w:val="0"/>
              <w:spacing w:line="560" w:lineRule="exact"/>
              <w:jc w:val="center"/>
              <w:textAlignment w:val="auto"/>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（万元）</w:t>
            </w:r>
          </w:p>
        </w:tc>
        <w:tc>
          <w:tcPr>
            <w:tcW w:w="1916" w:type="dxa"/>
            <w:vAlign w:val="center"/>
          </w:tcPr>
          <w:p w14:paraId="498FAD80">
            <w:pPr>
              <w:keepNext w:val="0"/>
              <w:keepLines w:val="0"/>
              <w:pageBreakBefore w:val="0"/>
              <w:widowControl w:val="0"/>
              <w:kinsoku/>
              <w:wordWrap/>
              <w:overflowPunct/>
              <w:topLinePunct w:val="0"/>
              <w:bidi w:val="0"/>
              <w:adjustRightInd w:val="0"/>
              <w:snapToGrid w:val="0"/>
              <w:spacing w:line="560" w:lineRule="exact"/>
              <w:jc w:val="center"/>
              <w:textAlignment w:val="auto"/>
              <w:rPr>
                <w:rFonts w:hint="eastAsia" w:ascii="仿宋" w:hAnsi="仿宋" w:eastAsia="仿宋" w:cs="仿宋"/>
                <w:kern w:val="2"/>
                <w:sz w:val="28"/>
                <w:szCs w:val="28"/>
                <w:highlight w:val="yellow"/>
                <w:lang w:val="en-US" w:eastAsia="zh-CN" w:bidi="ar-SA"/>
              </w:rPr>
            </w:pPr>
            <w:r>
              <w:rPr>
                <w:rFonts w:hint="eastAsia" w:ascii="仿宋" w:hAnsi="仿宋" w:eastAsia="仿宋" w:cs="仿宋"/>
                <w:kern w:val="2"/>
                <w:sz w:val="28"/>
                <w:szCs w:val="28"/>
                <w:highlight w:val="none"/>
                <w:lang w:val="en-US" w:eastAsia="zh-CN" w:bidi="ar-SA"/>
              </w:rPr>
              <w:t>投标折扣率</w:t>
            </w:r>
          </w:p>
        </w:tc>
        <w:tc>
          <w:tcPr>
            <w:tcW w:w="2717" w:type="dxa"/>
            <w:vAlign w:val="center"/>
          </w:tcPr>
          <w:p w14:paraId="4A525D1D">
            <w:pPr>
              <w:keepNext w:val="0"/>
              <w:keepLines w:val="0"/>
              <w:pageBreakBefore w:val="0"/>
              <w:widowControl w:val="0"/>
              <w:kinsoku/>
              <w:wordWrap/>
              <w:overflowPunct/>
              <w:topLinePunct w:val="0"/>
              <w:bidi w:val="0"/>
              <w:adjustRightInd w:val="0"/>
              <w:snapToGrid w:val="0"/>
              <w:spacing w:line="560" w:lineRule="exact"/>
              <w:jc w:val="center"/>
              <w:textAlignment w:val="auto"/>
              <w:rPr>
                <w:rFonts w:hint="eastAsia" w:asciiTheme="minorEastAsia" w:hAnsiTheme="minorEastAsia" w:eastAsiaTheme="minorEastAsia" w:cstheme="minorEastAsia"/>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备注</w:t>
            </w:r>
          </w:p>
        </w:tc>
      </w:tr>
      <w:tr w14:paraId="54D02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3066" w:type="dxa"/>
            <w:vAlign w:val="center"/>
          </w:tcPr>
          <w:p w14:paraId="78C328CD">
            <w:pPr>
              <w:keepNext w:val="0"/>
              <w:keepLines w:val="0"/>
              <w:pageBreakBefore w:val="0"/>
              <w:widowControl w:val="0"/>
              <w:kinsoku/>
              <w:wordWrap/>
              <w:overflowPunct/>
              <w:topLinePunct w:val="0"/>
              <w:bidi w:val="0"/>
              <w:adjustRightInd w:val="0"/>
              <w:snapToGrid w:val="0"/>
              <w:spacing w:line="560" w:lineRule="exact"/>
              <w:jc w:val="center"/>
              <w:textAlignment w:val="auto"/>
              <w:rPr>
                <w:rFonts w:hint="default"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新能源车辆三电系统定点维修服务采购</w:t>
            </w:r>
          </w:p>
        </w:tc>
        <w:tc>
          <w:tcPr>
            <w:tcW w:w="1939" w:type="dxa"/>
            <w:vAlign w:val="center"/>
          </w:tcPr>
          <w:p w14:paraId="77020CFB">
            <w:pPr>
              <w:keepNext w:val="0"/>
              <w:keepLines w:val="0"/>
              <w:pageBreakBefore w:val="0"/>
              <w:widowControl w:val="0"/>
              <w:kinsoku/>
              <w:wordWrap/>
              <w:overflowPunct/>
              <w:topLinePunct w:val="0"/>
              <w:bidi w:val="0"/>
              <w:adjustRightInd w:val="0"/>
              <w:snapToGrid w:val="0"/>
              <w:spacing w:line="560" w:lineRule="exact"/>
              <w:jc w:val="center"/>
              <w:textAlignment w:val="auto"/>
              <w:rPr>
                <w:rFonts w:hint="default"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89.65</w:t>
            </w:r>
          </w:p>
        </w:tc>
        <w:tc>
          <w:tcPr>
            <w:tcW w:w="1916" w:type="dxa"/>
            <w:vAlign w:val="center"/>
          </w:tcPr>
          <w:p w14:paraId="188778A7">
            <w:pPr>
              <w:keepNext w:val="0"/>
              <w:keepLines w:val="0"/>
              <w:pageBreakBefore w:val="0"/>
              <w:widowControl w:val="0"/>
              <w:kinsoku/>
              <w:wordWrap/>
              <w:overflowPunct/>
              <w:topLinePunct w:val="0"/>
              <w:bidi w:val="0"/>
              <w:adjustRightInd w:val="0"/>
              <w:snapToGrid w:val="0"/>
              <w:spacing w:line="560" w:lineRule="exact"/>
              <w:jc w:val="center"/>
              <w:textAlignment w:val="auto"/>
              <w:rPr>
                <w:rFonts w:hint="default" w:ascii="仿宋" w:hAnsi="仿宋" w:eastAsia="仿宋" w:cs="仿宋"/>
                <w:kern w:val="2"/>
                <w:sz w:val="28"/>
                <w:szCs w:val="28"/>
                <w:highlight w:val="yellow"/>
                <w:lang w:val="en-US" w:eastAsia="zh-CN" w:bidi="ar-SA"/>
              </w:rPr>
            </w:pPr>
          </w:p>
        </w:tc>
        <w:tc>
          <w:tcPr>
            <w:tcW w:w="2717" w:type="dxa"/>
            <w:vAlign w:val="center"/>
          </w:tcPr>
          <w:p w14:paraId="568B9D3B">
            <w:pPr>
              <w:keepNext w:val="0"/>
              <w:keepLines w:val="0"/>
              <w:pageBreakBefore w:val="0"/>
              <w:widowControl w:val="0"/>
              <w:numPr>
                <w:ilvl w:val="0"/>
                <w:numId w:val="0"/>
              </w:numPr>
              <w:kinsoku/>
              <w:wordWrap/>
              <w:overflowPunct/>
              <w:topLinePunct w:val="0"/>
              <w:bidi w:val="0"/>
              <w:adjustRightInd w:val="0"/>
              <w:snapToGrid w:val="0"/>
              <w:spacing w:line="560" w:lineRule="exact"/>
              <w:jc w:val="both"/>
              <w:textAlignment w:val="auto"/>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1.据实结算，结算价不超过合同价。</w:t>
            </w:r>
          </w:p>
          <w:p w14:paraId="4F09213F">
            <w:pPr>
              <w:keepNext w:val="0"/>
              <w:keepLines w:val="0"/>
              <w:pageBreakBefore w:val="0"/>
              <w:widowControl w:val="0"/>
              <w:numPr>
                <w:ilvl w:val="0"/>
                <w:numId w:val="0"/>
              </w:numPr>
              <w:kinsoku/>
              <w:wordWrap/>
              <w:overflowPunct/>
              <w:topLinePunct w:val="0"/>
              <w:bidi w:val="0"/>
              <w:adjustRightInd w:val="0"/>
              <w:snapToGrid w:val="0"/>
              <w:spacing w:line="560" w:lineRule="exact"/>
              <w:jc w:val="both"/>
              <w:textAlignment w:val="auto"/>
              <w:rPr>
                <w:rFonts w:hint="eastAsia" w:asciiTheme="minorEastAsia" w:hAnsiTheme="minorEastAsia" w:eastAsiaTheme="minorEastAsia" w:cstheme="minorEastAsia"/>
                <w:kern w:val="2"/>
                <w:sz w:val="28"/>
                <w:szCs w:val="28"/>
                <w:highlight w:val="none"/>
                <w:lang w:val="en-US" w:eastAsia="zh-CN" w:bidi="ar-SA"/>
              </w:rPr>
            </w:pPr>
            <w:r>
              <w:rPr>
                <w:rFonts w:hint="eastAsia" w:ascii="仿宋" w:hAnsi="仿宋" w:eastAsia="仿宋" w:cs="仿宋"/>
                <w:b/>
                <w:bCs/>
                <w:kern w:val="2"/>
                <w:sz w:val="28"/>
                <w:szCs w:val="28"/>
                <w:highlight w:val="none"/>
                <w:lang w:val="en-US" w:eastAsia="zh-CN" w:bidi="ar-SA"/>
              </w:rPr>
              <w:t>2.增值税税率</w:t>
            </w:r>
            <w:r>
              <w:rPr>
                <w:rFonts w:hint="eastAsia" w:ascii="仿宋" w:hAnsi="仿宋" w:eastAsia="仿宋" w:cs="仿宋"/>
                <w:b/>
                <w:bCs/>
                <w:kern w:val="2"/>
                <w:sz w:val="28"/>
                <w:szCs w:val="28"/>
                <w:highlight w:val="none"/>
                <w:u w:val="single"/>
                <w:lang w:val="en-US" w:eastAsia="zh-CN" w:bidi="ar-SA"/>
              </w:rPr>
              <w:t xml:space="preserve">   </w:t>
            </w:r>
            <w:r>
              <w:rPr>
                <w:rFonts w:hint="eastAsia" w:ascii="仿宋" w:hAnsi="仿宋" w:eastAsia="仿宋" w:cs="仿宋"/>
                <w:b/>
                <w:bCs/>
                <w:kern w:val="2"/>
                <w:sz w:val="28"/>
                <w:szCs w:val="28"/>
                <w:highlight w:val="none"/>
                <w:lang w:val="en-US" w:eastAsia="zh-CN" w:bidi="ar-SA"/>
              </w:rPr>
              <w:t>%。</w:t>
            </w:r>
          </w:p>
        </w:tc>
      </w:tr>
    </w:tbl>
    <w:p w14:paraId="2FA49E34">
      <w:pPr>
        <w:keepNext w:val="0"/>
        <w:keepLines w:val="0"/>
        <w:pageBreakBefore w:val="0"/>
        <w:widowControl w:val="0"/>
        <w:kinsoku/>
        <w:wordWrap/>
        <w:overflowPunct/>
        <w:topLinePunct w:val="0"/>
        <w:autoSpaceDE/>
        <w:autoSpaceDN/>
        <w:bidi w:val="0"/>
        <w:adjustRightInd w:val="0"/>
        <w:snapToGrid w:val="0"/>
        <w:spacing w:line="560" w:lineRule="exact"/>
        <w:ind w:firstLine="0" w:firstLineChars="0"/>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备注：</w:t>
      </w:r>
    </w:p>
    <w:p w14:paraId="5618CD15">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default"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（1）遴选控制价为89.65万元。总价超出遴选控制价将导致投标无效。</w:t>
      </w:r>
    </w:p>
    <w:p w14:paraId="6273709A">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（2）如投标人提供的增值税专用发票税率不同时，则以不含增值税报价为最终评标价格（该评标价格仅作为评标时的依据，不能作为中标价格）。</w:t>
      </w:r>
    </w:p>
    <w:p w14:paraId="60F70BC5">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（3）本项目采用据实结算方式，合同支付上限价格为89.65万元，实际发生维修服务金额按附件限价清单中的投标报价（控制价*投标折扣率）为准，结算单价不得高于投标报价。</w:t>
      </w:r>
    </w:p>
    <w:p w14:paraId="6E3492EA">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（4）附件限价清单未列明维修项，维修单据不得高于市场价。</w:t>
      </w:r>
    </w:p>
    <w:p w14:paraId="25ADDF3E">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（5）以上报价包括人工费、运输费、管理费、税金及其他乙方为履行本合同义务所发生的一切费用。</w:t>
      </w:r>
    </w:p>
    <w:p w14:paraId="4DFC074C">
      <w:pPr>
        <w:rPr>
          <w:rFonts w:hint="eastAsia"/>
          <w:lang w:val="en-US" w:eastAsia="zh-CN"/>
        </w:rPr>
      </w:pPr>
    </w:p>
    <w:p w14:paraId="45333DAD">
      <w:pPr>
        <w:rPr>
          <w:rFonts w:hint="eastAsia"/>
          <w:lang w:val="en-US" w:eastAsia="zh-CN"/>
        </w:rPr>
      </w:pPr>
    </w:p>
    <w:p w14:paraId="6B78617C">
      <w:pPr>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 xml:space="preserve">                                   公司名称：</w:t>
      </w:r>
    </w:p>
    <w:p w14:paraId="47475478">
      <w:pPr>
        <w:pStyle w:val="5"/>
        <w:ind w:firstLine="4096" w:firstLineChars="1700"/>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 xml:space="preserve">    日期：</w:t>
      </w:r>
    </w:p>
    <w:p w14:paraId="261E5D7C">
      <w:pPr>
        <w:rPr>
          <w:rFonts w:hint="default" w:ascii="黑体" w:hAnsi="黑体" w:eastAsia="黑体" w:cs="黑体"/>
          <w:sz w:val="32"/>
          <w:szCs w:val="32"/>
          <w:highlight w:val="none"/>
          <w:lang w:val="en-US" w:eastAsia="zh-CN"/>
        </w:rPr>
      </w:pPr>
    </w:p>
    <w:sectPr>
      <w:pgSz w:w="11906" w:h="16838"/>
      <w:pgMar w:top="2098" w:right="1474" w:bottom="1984" w:left="1587"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63096C"/>
    <w:multiLevelType w:val="singleLevel"/>
    <w:tmpl w:val="A163096C"/>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YwYzRhZTFkZDU4N2U2MmMwN2FiNzQxOTkwNTJlNGEifQ=="/>
    <w:docVar w:name="KSO_WPS_MARK_KEY" w:val="0db50913-4cc0-4f5c-a909-c59f76bff19c"/>
  </w:docVars>
  <w:rsids>
    <w:rsidRoot w:val="00000000"/>
    <w:rsid w:val="00382DEE"/>
    <w:rsid w:val="005F5904"/>
    <w:rsid w:val="017165B7"/>
    <w:rsid w:val="01747822"/>
    <w:rsid w:val="019C37AB"/>
    <w:rsid w:val="01B110AA"/>
    <w:rsid w:val="01C04E49"/>
    <w:rsid w:val="01C60A9B"/>
    <w:rsid w:val="01D95F0B"/>
    <w:rsid w:val="01E925F2"/>
    <w:rsid w:val="01E96C2E"/>
    <w:rsid w:val="021C29C7"/>
    <w:rsid w:val="02532161"/>
    <w:rsid w:val="02994018"/>
    <w:rsid w:val="02B16458"/>
    <w:rsid w:val="03376076"/>
    <w:rsid w:val="03456C7A"/>
    <w:rsid w:val="039B1DA5"/>
    <w:rsid w:val="03E62402"/>
    <w:rsid w:val="04230CF2"/>
    <w:rsid w:val="04BC5C62"/>
    <w:rsid w:val="04C25C35"/>
    <w:rsid w:val="04DB3C78"/>
    <w:rsid w:val="05197D6A"/>
    <w:rsid w:val="054F7546"/>
    <w:rsid w:val="05A47FA4"/>
    <w:rsid w:val="061B7C0A"/>
    <w:rsid w:val="062067FE"/>
    <w:rsid w:val="066204CF"/>
    <w:rsid w:val="06B6300F"/>
    <w:rsid w:val="06F87DF9"/>
    <w:rsid w:val="071F1601"/>
    <w:rsid w:val="07B216D8"/>
    <w:rsid w:val="07FC0115"/>
    <w:rsid w:val="080A23DF"/>
    <w:rsid w:val="084F5179"/>
    <w:rsid w:val="08914928"/>
    <w:rsid w:val="08B0187A"/>
    <w:rsid w:val="08C85FE2"/>
    <w:rsid w:val="09466565"/>
    <w:rsid w:val="095F4ACD"/>
    <w:rsid w:val="09746E18"/>
    <w:rsid w:val="098A46BA"/>
    <w:rsid w:val="09CD0A4B"/>
    <w:rsid w:val="0A78795E"/>
    <w:rsid w:val="0ABD2EA9"/>
    <w:rsid w:val="0ADA016C"/>
    <w:rsid w:val="0ADB0569"/>
    <w:rsid w:val="0B187AA4"/>
    <w:rsid w:val="0C4B6E38"/>
    <w:rsid w:val="0D525E6F"/>
    <w:rsid w:val="0D5C16DA"/>
    <w:rsid w:val="0D9378B6"/>
    <w:rsid w:val="0D977A6F"/>
    <w:rsid w:val="0D98735D"/>
    <w:rsid w:val="0DC21F49"/>
    <w:rsid w:val="0DDC7061"/>
    <w:rsid w:val="0E3521DC"/>
    <w:rsid w:val="0ED124F9"/>
    <w:rsid w:val="0EF16F8A"/>
    <w:rsid w:val="0F246992"/>
    <w:rsid w:val="0F4117CC"/>
    <w:rsid w:val="0F490B74"/>
    <w:rsid w:val="0F517ACC"/>
    <w:rsid w:val="0FA47B58"/>
    <w:rsid w:val="0FAB4401"/>
    <w:rsid w:val="0FF44753"/>
    <w:rsid w:val="10180A3A"/>
    <w:rsid w:val="106920B6"/>
    <w:rsid w:val="109E0A4B"/>
    <w:rsid w:val="10AC760C"/>
    <w:rsid w:val="10DF4023"/>
    <w:rsid w:val="111772D2"/>
    <w:rsid w:val="114535BD"/>
    <w:rsid w:val="11E34928"/>
    <w:rsid w:val="12413F80"/>
    <w:rsid w:val="124C454F"/>
    <w:rsid w:val="128F2D41"/>
    <w:rsid w:val="1296148B"/>
    <w:rsid w:val="12B858B8"/>
    <w:rsid w:val="12CB5C1F"/>
    <w:rsid w:val="132732BF"/>
    <w:rsid w:val="13294F44"/>
    <w:rsid w:val="138A1E15"/>
    <w:rsid w:val="14197409"/>
    <w:rsid w:val="14553B17"/>
    <w:rsid w:val="147838E2"/>
    <w:rsid w:val="149E726C"/>
    <w:rsid w:val="14A4376A"/>
    <w:rsid w:val="14AB7E78"/>
    <w:rsid w:val="14BD76C0"/>
    <w:rsid w:val="14C33176"/>
    <w:rsid w:val="14C845E9"/>
    <w:rsid w:val="14E23878"/>
    <w:rsid w:val="151E65FF"/>
    <w:rsid w:val="15930421"/>
    <w:rsid w:val="15A07014"/>
    <w:rsid w:val="15DA15E8"/>
    <w:rsid w:val="16240CD3"/>
    <w:rsid w:val="1662385D"/>
    <w:rsid w:val="16895690"/>
    <w:rsid w:val="16C04950"/>
    <w:rsid w:val="16C8346F"/>
    <w:rsid w:val="16E315DA"/>
    <w:rsid w:val="16F96496"/>
    <w:rsid w:val="173977AF"/>
    <w:rsid w:val="173C0761"/>
    <w:rsid w:val="178C77D8"/>
    <w:rsid w:val="18075128"/>
    <w:rsid w:val="181C512B"/>
    <w:rsid w:val="184243B2"/>
    <w:rsid w:val="188F365D"/>
    <w:rsid w:val="18DB0633"/>
    <w:rsid w:val="18E53FBC"/>
    <w:rsid w:val="18ED7450"/>
    <w:rsid w:val="195C49A7"/>
    <w:rsid w:val="19834CB4"/>
    <w:rsid w:val="19913482"/>
    <w:rsid w:val="19E03E83"/>
    <w:rsid w:val="1A30258E"/>
    <w:rsid w:val="1A3B730B"/>
    <w:rsid w:val="1A3F3E57"/>
    <w:rsid w:val="1A410D65"/>
    <w:rsid w:val="1A5D1977"/>
    <w:rsid w:val="1A935399"/>
    <w:rsid w:val="1ADF05DE"/>
    <w:rsid w:val="1B1E0B43"/>
    <w:rsid w:val="1B416BA3"/>
    <w:rsid w:val="1B4C7DFF"/>
    <w:rsid w:val="1B5E59A7"/>
    <w:rsid w:val="1B707E81"/>
    <w:rsid w:val="1BE32AD0"/>
    <w:rsid w:val="1BE449C5"/>
    <w:rsid w:val="1C27223D"/>
    <w:rsid w:val="1C421505"/>
    <w:rsid w:val="1C8C02F2"/>
    <w:rsid w:val="1C9A5DF9"/>
    <w:rsid w:val="1CDD6D9F"/>
    <w:rsid w:val="1D012A8E"/>
    <w:rsid w:val="1D5D57EA"/>
    <w:rsid w:val="1D7A555D"/>
    <w:rsid w:val="1D857414"/>
    <w:rsid w:val="1D9B4C90"/>
    <w:rsid w:val="1DA03095"/>
    <w:rsid w:val="1DD56B0B"/>
    <w:rsid w:val="1E0850D6"/>
    <w:rsid w:val="1E147EF9"/>
    <w:rsid w:val="1E2F7187"/>
    <w:rsid w:val="1E312007"/>
    <w:rsid w:val="1E407E74"/>
    <w:rsid w:val="1E64416A"/>
    <w:rsid w:val="1F36301B"/>
    <w:rsid w:val="1F3F7776"/>
    <w:rsid w:val="1FA07265"/>
    <w:rsid w:val="1FB262C1"/>
    <w:rsid w:val="208961A8"/>
    <w:rsid w:val="20BA188B"/>
    <w:rsid w:val="20D0371B"/>
    <w:rsid w:val="20D93DAB"/>
    <w:rsid w:val="20DF6D0A"/>
    <w:rsid w:val="219C0FD7"/>
    <w:rsid w:val="21DC13D3"/>
    <w:rsid w:val="22B509B6"/>
    <w:rsid w:val="22C77C89"/>
    <w:rsid w:val="235B3A3E"/>
    <w:rsid w:val="236A7F48"/>
    <w:rsid w:val="238F4D12"/>
    <w:rsid w:val="244613D7"/>
    <w:rsid w:val="249D1C15"/>
    <w:rsid w:val="24C71BAC"/>
    <w:rsid w:val="258C3110"/>
    <w:rsid w:val="2595615F"/>
    <w:rsid w:val="25D845A8"/>
    <w:rsid w:val="26661BB3"/>
    <w:rsid w:val="266B0F78"/>
    <w:rsid w:val="26831B0B"/>
    <w:rsid w:val="269F14EC"/>
    <w:rsid w:val="26BF30B8"/>
    <w:rsid w:val="27021029"/>
    <w:rsid w:val="27893DAB"/>
    <w:rsid w:val="27A00569"/>
    <w:rsid w:val="285C14C0"/>
    <w:rsid w:val="28CF4AA8"/>
    <w:rsid w:val="297967F6"/>
    <w:rsid w:val="29D3071B"/>
    <w:rsid w:val="29EE7EF6"/>
    <w:rsid w:val="29F01EC0"/>
    <w:rsid w:val="29F23E8A"/>
    <w:rsid w:val="2A005659"/>
    <w:rsid w:val="2A1B716F"/>
    <w:rsid w:val="2AA8613A"/>
    <w:rsid w:val="2ACC0017"/>
    <w:rsid w:val="2B3C4050"/>
    <w:rsid w:val="2B3F6D00"/>
    <w:rsid w:val="2B821F14"/>
    <w:rsid w:val="2BF81500"/>
    <w:rsid w:val="2C1218DE"/>
    <w:rsid w:val="2C2E4F21"/>
    <w:rsid w:val="2C7E55FC"/>
    <w:rsid w:val="2C9034E6"/>
    <w:rsid w:val="2CDB1327"/>
    <w:rsid w:val="2D151C3D"/>
    <w:rsid w:val="2D400215"/>
    <w:rsid w:val="2D84310E"/>
    <w:rsid w:val="2DE955A4"/>
    <w:rsid w:val="2E141EE1"/>
    <w:rsid w:val="2E2312BE"/>
    <w:rsid w:val="2E5A0CB9"/>
    <w:rsid w:val="2E5F5866"/>
    <w:rsid w:val="2E707155"/>
    <w:rsid w:val="2E976A53"/>
    <w:rsid w:val="2F3A21AD"/>
    <w:rsid w:val="2F550388"/>
    <w:rsid w:val="2FC15757"/>
    <w:rsid w:val="2FD652C1"/>
    <w:rsid w:val="30297EDA"/>
    <w:rsid w:val="305566F4"/>
    <w:rsid w:val="30812984"/>
    <w:rsid w:val="308B35E4"/>
    <w:rsid w:val="309A3ADC"/>
    <w:rsid w:val="30C61BCC"/>
    <w:rsid w:val="30FC77ED"/>
    <w:rsid w:val="313613BF"/>
    <w:rsid w:val="31416065"/>
    <w:rsid w:val="3179279B"/>
    <w:rsid w:val="319E7EA7"/>
    <w:rsid w:val="31BE0AF5"/>
    <w:rsid w:val="31C0486E"/>
    <w:rsid w:val="31C64A2F"/>
    <w:rsid w:val="32186458"/>
    <w:rsid w:val="324D1679"/>
    <w:rsid w:val="32BC3287"/>
    <w:rsid w:val="32BC741A"/>
    <w:rsid w:val="32F32A21"/>
    <w:rsid w:val="336E6684"/>
    <w:rsid w:val="33C76A50"/>
    <w:rsid w:val="33E5680D"/>
    <w:rsid w:val="33F42D4E"/>
    <w:rsid w:val="341E1D1F"/>
    <w:rsid w:val="34757B91"/>
    <w:rsid w:val="34825E0A"/>
    <w:rsid w:val="34DC75D1"/>
    <w:rsid w:val="35002E80"/>
    <w:rsid w:val="350C3926"/>
    <w:rsid w:val="350F3F19"/>
    <w:rsid w:val="35345BEC"/>
    <w:rsid w:val="353E5DA2"/>
    <w:rsid w:val="35577297"/>
    <w:rsid w:val="35762E24"/>
    <w:rsid w:val="359C0B95"/>
    <w:rsid w:val="35AA7025"/>
    <w:rsid w:val="362A675A"/>
    <w:rsid w:val="36525B04"/>
    <w:rsid w:val="36B443CF"/>
    <w:rsid w:val="36BB3F78"/>
    <w:rsid w:val="36DD4462"/>
    <w:rsid w:val="36E428B0"/>
    <w:rsid w:val="36F56C29"/>
    <w:rsid w:val="372E4027"/>
    <w:rsid w:val="378123A9"/>
    <w:rsid w:val="37AD25EE"/>
    <w:rsid w:val="38134100"/>
    <w:rsid w:val="384F6DEF"/>
    <w:rsid w:val="385545E0"/>
    <w:rsid w:val="389712B7"/>
    <w:rsid w:val="39535108"/>
    <w:rsid w:val="39855C4E"/>
    <w:rsid w:val="39877338"/>
    <w:rsid w:val="39F41558"/>
    <w:rsid w:val="3A6B10EF"/>
    <w:rsid w:val="3AA77A24"/>
    <w:rsid w:val="3ABE61D1"/>
    <w:rsid w:val="3B180FBF"/>
    <w:rsid w:val="3B694695"/>
    <w:rsid w:val="3B89663D"/>
    <w:rsid w:val="3C8B16D3"/>
    <w:rsid w:val="3CD94326"/>
    <w:rsid w:val="3CF46EDE"/>
    <w:rsid w:val="3D7A2546"/>
    <w:rsid w:val="3DE6611C"/>
    <w:rsid w:val="3DF053E7"/>
    <w:rsid w:val="3E004AC7"/>
    <w:rsid w:val="3E0D0E3B"/>
    <w:rsid w:val="3E257A27"/>
    <w:rsid w:val="3E291197"/>
    <w:rsid w:val="3E4105E4"/>
    <w:rsid w:val="3E430A34"/>
    <w:rsid w:val="3EB63280"/>
    <w:rsid w:val="3F1B7587"/>
    <w:rsid w:val="3F4C6CE8"/>
    <w:rsid w:val="3F5551A2"/>
    <w:rsid w:val="3F5900B0"/>
    <w:rsid w:val="3FB377C0"/>
    <w:rsid w:val="40152228"/>
    <w:rsid w:val="40253F3C"/>
    <w:rsid w:val="405C39B3"/>
    <w:rsid w:val="40712F0C"/>
    <w:rsid w:val="40B21174"/>
    <w:rsid w:val="40D83EF0"/>
    <w:rsid w:val="40DC4AF4"/>
    <w:rsid w:val="40E96C63"/>
    <w:rsid w:val="410719BE"/>
    <w:rsid w:val="41267FF3"/>
    <w:rsid w:val="4134460A"/>
    <w:rsid w:val="41A73354"/>
    <w:rsid w:val="421A58D4"/>
    <w:rsid w:val="422B5D33"/>
    <w:rsid w:val="42711AF6"/>
    <w:rsid w:val="42A866EA"/>
    <w:rsid w:val="42BA2C13"/>
    <w:rsid w:val="42BE5A9B"/>
    <w:rsid w:val="42C83D00"/>
    <w:rsid w:val="42EF5206"/>
    <w:rsid w:val="43217136"/>
    <w:rsid w:val="43671945"/>
    <w:rsid w:val="43697CE0"/>
    <w:rsid w:val="43D4412E"/>
    <w:rsid w:val="43DF5939"/>
    <w:rsid w:val="43F702CB"/>
    <w:rsid w:val="445F7F16"/>
    <w:rsid w:val="44692B43"/>
    <w:rsid w:val="45165603"/>
    <w:rsid w:val="459B7C3D"/>
    <w:rsid w:val="46351E75"/>
    <w:rsid w:val="464B4BB4"/>
    <w:rsid w:val="46560A9A"/>
    <w:rsid w:val="465E7D59"/>
    <w:rsid w:val="468C0D6B"/>
    <w:rsid w:val="469C2742"/>
    <w:rsid w:val="472E231C"/>
    <w:rsid w:val="47307948"/>
    <w:rsid w:val="473E37CE"/>
    <w:rsid w:val="475F022D"/>
    <w:rsid w:val="47DE6C76"/>
    <w:rsid w:val="48054931"/>
    <w:rsid w:val="486D19E3"/>
    <w:rsid w:val="48933466"/>
    <w:rsid w:val="48B40105"/>
    <w:rsid w:val="48CC307C"/>
    <w:rsid w:val="48EF67C5"/>
    <w:rsid w:val="48F53A39"/>
    <w:rsid w:val="49071275"/>
    <w:rsid w:val="493A685C"/>
    <w:rsid w:val="49AD1474"/>
    <w:rsid w:val="49E52C6C"/>
    <w:rsid w:val="4A1C41B3"/>
    <w:rsid w:val="4ADA6D2D"/>
    <w:rsid w:val="4AE86BB0"/>
    <w:rsid w:val="4B10411A"/>
    <w:rsid w:val="4B3D0BE3"/>
    <w:rsid w:val="4B496C93"/>
    <w:rsid w:val="4B5A0C2D"/>
    <w:rsid w:val="4B837F21"/>
    <w:rsid w:val="4BA34B8C"/>
    <w:rsid w:val="4BDD44AC"/>
    <w:rsid w:val="4C2E4AB4"/>
    <w:rsid w:val="4CA6169E"/>
    <w:rsid w:val="4CD6771E"/>
    <w:rsid w:val="4D096C71"/>
    <w:rsid w:val="4D50664E"/>
    <w:rsid w:val="4DB56DF9"/>
    <w:rsid w:val="4DC332C4"/>
    <w:rsid w:val="4DFD0DB1"/>
    <w:rsid w:val="4E1649CE"/>
    <w:rsid w:val="4E555B7E"/>
    <w:rsid w:val="4E5B4E73"/>
    <w:rsid w:val="4E7520E4"/>
    <w:rsid w:val="4EB255E9"/>
    <w:rsid w:val="4EC217CD"/>
    <w:rsid w:val="4EC820CD"/>
    <w:rsid w:val="4ECA0682"/>
    <w:rsid w:val="4F252466"/>
    <w:rsid w:val="4F813436"/>
    <w:rsid w:val="4F81433C"/>
    <w:rsid w:val="4FA07BB2"/>
    <w:rsid w:val="4FD25A40"/>
    <w:rsid w:val="502E69EF"/>
    <w:rsid w:val="50B04151"/>
    <w:rsid w:val="50E817D4"/>
    <w:rsid w:val="513B7615"/>
    <w:rsid w:val="51617A63"/>
    <w:rsid w:val="518C3EDA"/>
    <w:rsid w:val="51AC1192"/>
    <w:rsid w:val="51D114A3"/>
    <w:rsid w:val="51D83203"/>
    <w:rsid w:val="520B0F72"/>
    <w:rsid w:val="52505342"/>
    <w:rsid w:val="528D3EA0"/>
    <w:rsid w:val="52F9307D"/>
    <w:rsid w:val="5300613A"/>
    <w:rsid w:val="53083749"/>
    <w:rsid w:val="53236529"/>
    <w:rsid w:val="533662E6"/>
    <w:rsid w:val="53383B95"/>
    <w:rsid w:val="5373474A"/>
    <w:rsid w:val="53C575F0"/>
    <w:rsid w:val="53F947A4"/>
    <w:rsid w:val="5458228C"/>
    <w:rsid w:val="54753EFC"/>
    <w:rsid w:val="55570796"/>
    <w:rsid w:val="558C48E3"/>
    <w:rsid w:val="567F4E31"/>
    <w:rsid w:val="56B91708"/>
    <w:rsid w:val="571A0E93"/>
    <w:rsid w:val="57527466"/>
    <w:rsid w:val="575925A3"/>
    <w:rsid w:val="585461A0"/>
    <w:rsid w:val="58C44394"/>
    <w:rsid w:val="59103135"/>
    <w:rsid w:val="59356580"/>
    <w:rsid w:val="593C7D39"/>
    <w:rsid w:val="5A0B4631"/>
    <w:rsid w:val="5A265C0D"/>
    <w:rsid w:val="5A434DB4"/>
    <w:rsid w:val="5A710770"/>
    <w:rsid w:val="5A964900"/>
    <w:rsid w:val="5AB56578"/>
    <w:rsid w:val="5AF34ABD"/>
    <w:rsid w:val="5B27506E"/>
    <w:rsid w:val="5B4E48F3"/>
    <w:rsid w:val="5B747CD3"/>
    <w:rsid w:val="5BFC3B52"/>
    <w:rsid w:val="5C207B33"/>
    <w:rsid w:val="5C7F7328"/>
    <w:rsid w:val="5CB121AE"/>
    <w:rsid w:val="5CB84210"/>
    <w:rsid w:val="5CC07FB9"/>
    <w:rsid w:val="5CC36C06"/>
    <w:rsid w:val="5CCE57E1"/>
    <w:rsid w:val="5CDC6150"/>
    <w:rsid w:val="5D1E7A43"/>
    <w:rsid w:val="5D547C92"/>
    <w:rsid w:val="5DD526DF"/>
    <w:rsid w:val="5E25629E"/>
    <w:rsid w:val="5E6A29D3"/>
    <w:rsid w:val="5EA87070"/>
    <w:rsid w:val="5F01496B"/>
    <w:rsid w:val="5F817E72"/>
    <w:rsid w:val="5FB548DE"/>
    <w:rsid w:val="5FDF108A"/>
    <w:rsid w:val="5FEB3DA1"/>
    <w:rsid w:val="60261B77"/>
    <w:rsid w:val="603A003B"/>
    <w:rsid w:val="603C31A9"/>
    <w:rsid w:val="603C6690"/>
    <w:rsid w:val="608749AC"/>
    <w:rsid w:val="608A1A1F"/>
    <w:rsid w:val="60B42F40"/>
    <w:rsid w:val="60F5130F"/>
    <w:rsid w:val="60FB27B1"/>
    <w:rsid w:val="61291238"/>
    <w:rsid w:val="61314591"/>
    <w:rsid w:val="614E5143"/>
    <w:rsid w:val="61923281"/>
    <w:rsid w:val="61E82EA1"/>
    <w:rsid w:val="61FB0FB0"/>
    <w:rsid w:val="621217AD"/>
    <w:rsid w:val="625B3673"/>
    <w:rsid w:val="626764BC"/>
    <w:rsid w:val="62DF24F6"/>
    <w:rsid w:val="62E07C1F"/>
    <w:rsid w:val="631657EC"/>
    <w:rsid w:val="634E4F7A"/>
    <w:rsid w:val="63AE54D1"/>
    <w:rsid w:val="63B97556"/>
    <w:rsid w:val="63E41C7B"/>
    <w:rsid w:val="640C0830"/>
    <w:rsid w:val="647E7622"/>
    <w:rsid w:val="65515201"/>
    <w:rsid w:val="656971DE"/>
    <w:rsid w:val="65CE23AE"/>
    <w:rsid w:val="65EB2D7C"/>
    <w:rsid w:val="662F5033"/>
    <w:rsid w:val="663707F6"/>
    <w:rsid w:val="663743F7"/>
    <w:rsid w:val="666E1938"/>
    <w:rsid w:val="6671494A"/>
    <w:rsid w:val="667C5A21"/>
    <w:rsid w:val="67A535E2"/>
    <w:rsid w:val="683B7691"/>
    <w:rsid w:val="68466B73"/>
    <w:rsid w:val="685968A7"/>
    <w:rsid w:val="689C2C37"/>
    <w:rsid w:val="68C31F72"/>
    <w:rsid w:val="68FC5484"/>
    <w:rsid w:val="694E0453"/>
    <w:rsid w:val="69586B5E"/>
    <w:rsid w:val="697028A5"/>
    <w:rsid w:val="69740DE3"/>
    <w:rsid w:val="69BF6BDD"/>
    <w:rsid w:val="69DE332C"/>
    <w:rsid w:val="6A230009"/>
    <w:rsid w:val="6A4454E8"/>
    <w:rsid w:val="6AA232D8"/>
    <w:rsid w:val="6B083E9C"/>
    <w:rsid w:val="6B581098"/>
    <w:rsid w:val="6B6561C1"/>
    <w:rsid w:val="6BC12577"/>
    <w:rsid w:val="6BF45E99"/>
    <w:rsid w:val="6D282CEC"/>
    <w:rsid w:val="6D481D32"/>
    <w:rsid w:val="6DB419F5"/>
    <w:rsid w:val="6DEC1AE6"/>
    <w:rsid w:val="6DFA4688"/>
    <w:rsid w:val="6E881C94"/>
    <w:rsid w:val="6EBB48CA"/>
    <w:rsid w:val="6ECF7B5A"/>
    <w:rsid w:val="6F6B4803"/>
    <w:rsid w:val="6F734622"/>
    <w:rsid w:val="705C42B5"/>
    <w:rsid w:val="70A1703D"/>
    <w:rsid w:val="70EA114F"/>
    <w:rsid w:val="7137174F"/>
    <w:rsid w:val="713F6856"/>
    <w:rsid w:val="7152589B"/>
    <w:rsid w:val="71DF7078"/>
    <w:rsid w:val="71FD592B"/>
    <w:rsid w:val="72CE7E91"/>
    <w:rsid w:val="72D43F1C"/>
    <w:rsid w:val="72D55184"/>
    <w:rsid w:val="72E9674E"/>
    <w:rsid w:val="737547B1"/>
    <w:rsid w:val="737C5B3F"/>
    <w:rsid w:val="73AE74B5"/>
    <w:rsid w:val="73FC77D8"/>
    <w:rsid w:val="74441AE5"/>
    <w:rsid w:val="74532667"/>
    <w:rsid w:val="747C0E6D"/>
    <w:rsid w:val="74C552BF"/>
    <w:rsid w:val="74E874F4"/>
    <w:rsid w:val="754C36EB"/>
    <w:rsid w:val="75EC4704"/>
    <w:rsid w:val="75EF084A"/>
    <w:rsid w:val="75F72A95"/>
    <w:rsid w:val="76155FDD"/>
    <w:rsid w:val="762D5973"/>
    <w:rsid w:val="7677439C"/>
    <w:rsid w:val="768F5B89"/>
    <w:rsid w:val="76C42481"/>
    <w:rsid w:val="76C649F0"/>
    <w:rsid w:val="774E334F"/>
    <w:rsid w:val="77F34477"/>
    <w:rsid w:val="783B62CA"/>
    <w:rsid w:val="787E073F"/>
    <w:rsid w:val="7895480B"/>
    <w:rsid w:val="78EB6DBB"/>
    <w:rsid w:val="791D779D"/>
    <w:rsid w:val="79330A4E"/>
    <w:rsid w:val="7A1B4481"/>
    <w:rsid w:val="7A3251AA"/>
    <w:rsid w:val="7ADF79D6"/>
    <w:rsid w:val="7B0703E4"/>
    <w:rsid w:val="7B074386"/>
    <w:rsid w:val="7B711D02"/>
    <w:rsid w:val="7BD24E35"/>
    <w:rsid w:val="7BFF10BB"/>
    <w:rsid w:val="7C016BE2"/>
    <w:rsid w:val="7C0B5CB2"/>
    <w:rsid w:val="7C2C2059"/>
    <w:rsid w:val="7CE02C9B"/>
    <w:rsid w:val="7CE424E0"/>
    <w:rsid w:val="7CE617A9"/>
    <w:rsid w:val="7D366D5F"/>
    <w:rsid w:val="7D553689"/>
    <w:rsid w:val="7D711531"/>
    <w:rsid w:val="7DC6323C"/>
    <w:rsid w:val="7DDD367E"/>
    <w:rsid w:val="7E436C9F"/>
    <w:rsid w:val="7E7C7B14"/>
    <w:rsid w:val="7F857B2A"/>
    <w:rsid w:val="7F92562D"/>
    <w:rsid w:val="7FA0140D"/>
    <w:rsid w:val="7FBB7B73"/>
    <w:rsid w:val="7FF25F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iPriority="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3">
    <w:name w:val="index 8"/>
    <w:basedOn w:val="1"/>
    <w:next w:val="1"/>
    <w:semiHidden/>
    <w:unhideWhenUsed/>
    <w:qFormat/>
    <w:uiPriority w:val="0"/>
    <w:pPr>
      <w:ind w:left="1400" w:leftChars="1400"/>
    </w:pPr>
  </w:style>
  <w:style w:type="paragraph" w:styleId="4">
    <w:name w:val="annotation text"/>
    <w:basedOn w:val="1"/>
    <w:unhideWhenUsed/>
    <w:qFormat/>
    <w:uiPriority w:val="0"/>
  </w:style>
  <w:style w:type="paragraph" w:styleId="5">
    <w:name w:val="Body Text"/>
    <w:basedOn w:val="1"/>
    <w:qFormat/>
    <w:uiPriority w:val="0"/>
    <w:pPr>
      <w:spacing w:line="360" w:lineRule="auto"/>
    </w:pPr>
    <w:rPr>
      <w:b/>
      <w:bCs/>
      <w:sz w:val="24"/>
    </w:rPr>
  </w:style>
  <w:style w:type="paragraph" w:styleId="6">
    <w:name w:val="Body Text Indent"/>
    <w:basedOn w:val="1"/>
    <w:qFormat/>
    <w:uiPriority w:val="0"/>
    <w:pPr>
      <w:tabs>
        <w:tab w:val="left" w:pos="0"/>
      </w:tabs>
      <w:spacing w:line="420" w:lineRule="exact"/>
      <w:ind w:firstLine="525"/>
    </w:pPr>
    <w:rPr>
      <w:rFonts w:ascii="仿宋_GB2312" w:hAnsi="Times New Roman" w:eastAsia="仿宋_GB2312"/>
      <w:sz w:val="28"/>
      <w:szCs w:val="20"/>
    </w:rPr>
  </w:style>
  <w:style w:type="paragraph" w:styleId="7">
    <w:name w:val="Plain Text"/>
    <w:basedOn w:val="1"/>
    <w:unhideWhenUsed/>
    <w:qFormat/>
    <w:uiPriority w:val="0"/>
    <w:rPr>
      <w:rFonts w:ascii="宋体" w:hAnsi="Courier New" w:eastAsiaTheme="minorEastAsia" w:cstheme="minorBidi"/>
      <w:szCs w:val="21"/>
    </w:rPr>
  </w:style>
  <w:style w:type="paragraph" w:styleId="8">
    <w:name w:val="Balloon Text"/>
    <w:basedOn w:val="1"/>
    <w:semiHidden/>
    <w:qFormat/>
    <w:uiPriority w:val="99"/>
    <w:rPr>
      <w:sz w:val="18"/>
      <w:szCs w:val="18"/>
    </w:rPr>
  </w:style>
  <w:style w:type="paragraph" w:styleId="9">
    <w:name w:val="footer"/>
    <w:basedOn w:val="1"/>
    <w:qFormat/>
    <w:uiPriority w:val="0"/>
    <w:pPr>
      <w:tabs>
        <w:tab w:val="center" w:pos="4153"/>
        <w:tab w:val="right" w:pos="8306"/>
      </w:tabs>
      <w:snapToGrid w:val="0"/>
      <w:jc w:val="left"/>
    </w:pPr>
    <w:rPr>
      <w:sz w:val="18"/>
    </w:rPr>
  </w:style>
  <w:style w:type="paragraph" w:styleId="10">
    <w:name w:val="Body Text 2"/>
    <w:basedOn w:val="1"/>
    <w:qFormat/>
    <w:uiPriority w:val="0"/>
    <w:pPr>
      <w:spacing w:line="360" w:lineRule="auto"/>
    </w:pPr>
    <w:rPr>
      <w:sz w:val="24"/>
    </w:rPr>
  </w:style>
  <w:style w:type="paragraph" w:styleId="11">
    <w:name w:val="Normal (Web)"/>
    <w:basedOn w:val="1"/>
    <w:qFormat/>
    <w:uiPriority w:val="0"/>
    <w:pPr>
      <w:jc w:val="left"/>
    </w:pPr>
    <w:rPr>
      <w:rFonts w:ascii="Times New Roman" w:hAnsi="Times New Roman"/>
      <w:kern w:val="0"/>
      <w:sz w:val="24"/>
      <w:szCs w:val="20"/>
    </w:rPr>
  </w:style>
  <w:style w:type="paragraph" w:styleId="12">
    <w:name w:val="Body Text First Indent 2"/>
    <w:basedOn w:val="6"/>
    <w:qFormat/>
    <w:uiPriority w:val="0"/>
    <w:pPr>
      <w:spacing w:line="240" w:lineRule="auto"/>
      <w:ind w:left="420" w:leftChars="200" w:firstLine="420" w:firstLineChars="200"/>
    </w:pPr>
    <w:rPr>
      <w:sz w:val="21"/>
      <w:szCs w:val="24"/>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表格文字"/>
    <w:basedOn w:val="1"/>
    <w:next w:val="5"/>
    <w:qFormat/>
    <w:uiPriority w:val="0"/>
    <w:pPr>
      <w:adjustRightInd w:val="0"/>
      <w:spacing w:line="420" w:lineRule="atLeast"/>
      <w:jc w:val="left"/>
      <w:textAlignment w:val="baseline"/>
    </w:pPr>
    <w:rPr>
      <w:kern w:val="0"/>
      <w:szCs w:val="20"/>
    </w:rPr>
  </w:style>
  <w:style w:type="paragraph" w:styleId="17">
    <w:name w:val="List Paragraph"/>
    <w:basedOn w:val="1"/>
    <w:qFormat/>
    <w:uiPriority w:val="99"/>
    <w:pPr>
      <w:ind w:firstLine="420" w:firstLineChars="200"/>
    </w:pPr>
  </w:style>
  <w:style w:type="paragraph" w:customStyle="1" w:styleId="18">
    <w:name w:val="样式 左侧:  0 厘米 悬挂缩进: 2.5 字符"/>
    <w:basedOn w:val="1"/>
    <w:qFormat/>
    <w:uiPriority w:val="0"/>
    <w:pPr>
      <w:ind w:left="525" w:hanging="525" w:hangingChars="250"/>
    </w:pPr>
  </w:style>
  <w:style w:type="paragraph" w:customStyle="1" w:styleId="19">
    <w:name w:val="列出段落1"/>
    <w:basedOn w:val="1"/>
    <w:qFormat/>
    <w:uiPriority w:val="34"/>
    <w:pPr>
      <w:ind w:firstLine="420" w:firstLineChars="200"/>
    </w:pPr>
  </w:style>
  <w:style w:type="character" w:customStyle="1" w:styleId="20">
    <w:name w:val="font111"/>
    <w:basedOn w:val="15"/>
    <w:qFormat/>
    <w:uiPriority w:val="0"/>
    <w:rPr>
      <w:rFonts w:ascii="宋体" w:hAnsi="宋体" w:eastAsia="宋体" w:cs="宋体"/>
      <w:b/>
      <w:bCs/>
      <w:color w:val="000000"/>
      <w:sz w:val="22"/>
      <w:szCs w:val="22"/>
      <w:u w:val="none"/>
    </w:rPr>
  </w:style>
  <w:style w:type="character" w:customStyle="1" w:styleId="21">
    <w:name w:val="font131"/>
    <w:basedOn w:val="15"/>
    <w:qFormat/>
    <w:uiPriority w:val="0"/>
    <w:rPr>
      <w:rFonts w:ascii="黑体" w:hAnsi="宋体" w:eastAsia="黑体" w:cs="黑体"/>
      <w:b/>
      <w:bCs/>
      <w:color w:val="000000"/>
      <w:sz w:val="22"/>
      <w:szCs w:val="22"/>
      <w:u w:val="none"/>
    </w:rPr>
  </w:style>
  <w:style w:type="character" w:customStyle="1" w:styleId="22">
    <w:name w:val="font151"/>
    <w:basedOn w:val="15"/>
    <w:qFormat/>
    <w:uiPriority w:val="0"/>
    <w:rPr>
      <w:rFonts w:ascii="宋体" w:hAnsi="宋体" w:eastAsia="宋体" w:cs="宋体"/>
      <w:b/>
      <w:bCs/>
      <w:color w:val="000000"/>
      <w:sz w:val="30"/>
      <w:szCs w:val="30"/>
      <w:u w:val="none"/>
    </w:rPr>
  </w:style>
  <w:style w:type="character" w:customStyle="1" w:styleId="23">
    <w:name w:val="font71"/>
    <w:basedOn w:val="15"/>
    <w:qFormat/>
    <w:uiPriority w:val="0"/>
    <w:rPr>
      <w:rFonts w:ascii="宋体" w:hAnsi="宋体" w:eastAsia="宋体" w:cs="宋体"/>
      <w:color w:val="000000"/>
      <w:sz w:val="22"/>
      <w:szCs w:val="22"/>
      <w:u w:val="none"/>
    </w:rPr>
  </w:style>
  <w:style w:type="character" w:customStyle="1" w:styleId="24">
    <w:name w:val="font121"/>
    <w:basedOn w:val="15"/>
    <w:qFormat/>
    <w:uiPriority w:val="0"/>
    <w:rPr>
      <w:rFonts w:ascii="宋体" w:hAnsi="宋体" w:eastAsia="宋体" w:cs="宋体"/>
      <w:color w:val="000000"/>
      <w:sz w:val="22"/>
      <w:szCs w:val="22"/>
      <w:u w:val="none"/>
    </w:rPr>
  </w:style>
  <w:style w:type="paragraph" w:customStyle="1" w:styleId="25">
    <w:name w:val="Table Paragraph"/>
    <w:basedOn w:val="1"/>
    <w:qFormat/>
    <w:uiPriority w:val="1"/>
    <w:pPr>
      <w:jc w:val="left"/>
    </w:pPr>
    <w:rPr>
      <w:rFonts w:ascii="Calibri" w:hAnsi="Calibri"/>
      <w:kern w:val="0"/>
      <w:sz w:val="22"/>
      <w:szCs w:val="22"/>
      <w:lang w:eastAsia="en-US"/>
    </w:rPr>
  </w:style>
  <w:style w:type="paragraph" w:customStyle="1" w:styleId="26">
    <w:name w:val="null3"/>
    <w:qFormat/>
    <w:uiPriority w:val="0"/>
    <w:rPr>
      <w:rFonts w:hint="eastAsia" w:ascii="Calibri" w:hAnsi="Calibri" w:eastAsia="宋体" w:cs="Times New Roman"/>
      <w:lang w:val="en-US" w:eastAsia="zh-Hans"/>
    </w:rPr>
  </w:style>
  <w:style w:type="character" w:customStyle="1" w:styleId="27">
    <w:name w:val="font21"/>
    <w:basedOn w:val="15"/>
    <w:qFormat/>
    <w:uiPriority w:val="0"/>
    <w:rPr>
      <w:rFonts w:hint="eastAsia" w:ascii="仿宋" w:hAnsi="仿宋" w:eastAsia="仿宋" w:cs="仿宋"/>
      <w:color w:val="000000"/>
      <w:sz w:val="28"/>
      <w:szCs w:val="2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790cd18e-2748-4da0-9fb2-45fdc394f971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E8A263A</paraID>
      <start>0</start>
      <end>2</end>
      <status>modified</status>
      <modifiedWord>1.</modifiedWord>
      <trackRevisions>false</trackRevisions>
    </reviewItem>
    <reviewItem>
      <errorID>541d0853-a74b-4542-b446-04558c971fc3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62E74219</paraID>
      <start>0</start>
      <end>2</end>
      <status>modified</status>
      <modifiedWord>2.</modifiedWord>
      <trackRevisions>false</trackRevisions>
    </reviewItem>
    <reviewItem>
      <errorID>f1139934-e695-4c47-9c2c-1e581cbbb781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7387ADE5</paraID>
      <start>0</start>
      <end>2</end>
      <status>modified</status>
      <modifiedWord>3.</modifiedWord>
      <trackRevisions>false</trackRevisions>
    </reviewItem>
    <reviewItem>
      <errorID>dba706b7-3085-4895-9835-9809978bbbca</errorID>
      <errorWord>（</errorWord>
      <group>L1_Punc</group>
      <groupName>标点问题</groupName>
      <ability>L2_Punc</ability>
      <abilityName>标点符号检查</abilityName>
      <candidateList/>
      <explain>此处标点可能未正确匹配，请检查句子中是否存在标点冗余、缺失或使用错误的情况。</explain>
      <paraID>59293097</paraID>
      <start>13</start>
      <end>14</end>
      <status>ignored</status>
      <modifiedWord/>
      <trackRevisions>false</trackRevisions>
    </reviewItem>
    <reviewItem>
      <errorID>203cb0a4-c24b-41a3-bfff-23bede9cd86d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496BF7A8</paraID>
      <start>0</start>
      <end>2</end>
      <status>modified</status>
      <modifiedWord>1.</modifiedWord>
      <trackRevisions>false</trackRevisions>
    </reviewItem>
    <reviewItem>
      <errorID>f6c78617-222d-43b2-b81f-1eb93e792111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20DA0A83</paraID>
      <start>0</start>
      <end>2</end>
      <status>modified</status>
      <modifiedWord>2.</modifiedWord>
      <trackRevisions>false</trackRevisions>
    </reviewItem>
    <reviewItem>
      <errorID>f1d65bbf-8045-44dc-b9bc-ee9841a763ad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49B6E5ED</paraID>
      <start>0</start>
      <end>2</end>
      <status>modified</status>
      <modifiedWord>1.</modifiedWord>
      <trackRevisions>false</trackRevisions>
    </reviewItem>
    <reviewItem>
      <errorID>411b4a94-18db-4010-a082-fc53b0287431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65F83CC0</paraID>
      <start>0</start>
      <end>2</end>
      <status>modified</status>
      <modifiedWord>2.</modifiedWord>
      <trackRevisions>false</trackRevisions>
    </reviewItem>
    <reviewItem>
      <errorID>8b8e0b77-e9c0-4eed-add0-a149f2956595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7B0BC9EF</paraID>
      <start>0</start>
      <end>2</end>
      <status>modified</status>
      <modifiedWord>3.</modifiedWord>
      <trackRevisions>false</trackRevisions>
    </reviewItem>
    <reviewItem>
      <errorID>d0123574-427b-4077-ba7d-fdd2fad3913c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5EE9217E</paraID>
      <start>0</start>
      <end>2</end>
      <status>modified</status>
      <modifiedWord>1.</modifiedWord>
      <trackRevisions>false</trackRevisions>
    </reviewItem>
    <reviewItem>
      <errorID>ffd6ead4-846f-453a-a261-2e83e67315a5</errorID>
      <errorWord>(</errorWord>
      <group>L1_Format</group>
      <groupName>格式问题</groupName>
      <ability>L2_HalfPunc</ability>
      <abilityName>全半角检查</abilityName>
      <candidateList>
        <item>（</item>
      </candidateList>
      <explain>文本全半角错误。</explain>
      <paraID>5EE9217E</paraID>
      <start>10</start>
      <end>11</end>
      <status>modified</status>
      <modifiedWord>（</modifiedWord>
      <trackRevisions>false</trackRevisions>
    </reviewItem>
    <reviewItem>
      <errorID>bd708f93-7a0b-44e0-8041-daa4adfcda43</errorID>
      <errorWord>)</errorWord>
      <group>L1_Format</group>
      <groupName>格式问题</groupName>
      <ability>L2_HalfPunc</ability>
      <abilityName>全半角检查</abilityName>
      <candidateList>
        <item>）</item>
      </candidateList>
      <explain>文本全半角错误。</explain>
      <paraID>5EE9217E</paraID>
      <start>17</start>
      <end>18</end>
      <status>modified</status>
      <modifiedWord>）</modifiedWord>
      <trackRevisions>false</trackRevisions>
    </reviewItem>
    <reviewItem>
      <errorID>5202898a-adf4-40dc-90d1-d64e67ac8c51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3A6DB54</paraID>
      <start>0</start>
      <end>2</end>
      <status>modified</status>
      <modifiedWord>2.</modifiedWord>
      <trackRevisions>false</trackRevisions>
    </reviewItem>
    <reviewItem>
      <errorID>d87542a6-50a9-46a2-b719-25f9697817ac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56E172B2</paraID>
      <start>0</start>
      <end>2</end>
      <status>modified</status>
      <modifiedWord>3.</modifiedWord>
      <trackRevisions>false</trackRevisions>
    </reviewItem>
    <reviewItem>
      <errorID>9d056d64-9308-4a06-b7e1-478b0d8772f3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35861C</paraID>
      <start>0</start>
      <end>2</end>
      <status>modified</status>
      <modifiedWord>1.</modifiedWord>
      <trackRevisions>false</trackRevisions>
    </reviewItem>
    <reviewItem>
      <errorID>2140545e-b6ec-4512-b847-6db7be4cf952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9FE79DC</paraID>
      <start>0</start>
      <end>2</end>
      <status>modified</status>
      <modifiedWord>2.</modifiedWord>
      <trackRevisions>false</trackRevisions>
    </reviewItem>
    <reviewItem>
      <errorID>f846c324-06f1-4ced-a8eb-72b6ff64fe5e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D4B1506</paraID>
      <start>0</start>
      <end>2</end>
      <status>modified</status>
      <modifiedWord>3.</modifiedWord>
      <trackRevisions>false</trackRevisions>
    </reviewItem>
    <reviewItem>
      <errorID>ea9a4393-7eff-48a2-9e70-8930b609645b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26CA3AB5</paraID>
      <start>0</start>
      <end>2</end>
      <status>modified</status>
      <modifiedWord>1.</modifiedWord>
      <trackRevisions>false</trackRevisions>
    </reviewItem>
    <reviewItem>
      <errorID>464b9b1c-3a40-4211-b399-47e84ab7f5d0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30E8405F</paraID>
      <start>0</start>
      <end>2</end>
      <status>modified</status>
      <modifiedWord>2.</modifiedWord>
      <trackRevisions>false</trackRevisions>
    </reviewItem>
    <reviewItem>
      <errorID>7d5a0aa7-15c7-43b2-b6aa-117b94deb59d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78CF6AF4</paraID>
      <start>0</start>
      <end>2</end>
      <status>modified</status>
      <modifiedWord>3.</modifiedWord>
      <trackRevisions>false</trackRevisions>
    </reviewItem>
    <reviewItem>
      <errorID>015d15cb-bc1e-456a-bc59-89e0fad41689</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12F25E75</paraID>
      <start>0</start>
      <end>2</end>
      <status>modified</status>
      <modifiedWord>4.</modifiedWord>
      <trackRevisions>false</trackRevisions>
    </reviewItem>
    <reviewItem>
      <errorID>4abc0fdc-7cc0-43d0-a153-7e75a2bdc0e3</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11CFA91B</paraID>
      <start>0</start>
      <end>2</end>
      <status>modified</status>
      <modifiedWord>5.</modifiedWord>
      <trackRevisions>false</trackRevisions>
    </reviewItem>
    <reviewItem>
      <errorID>2485725e-4269-411f-8f46-54dfe127d393</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7FB4E714</paraID>
      <start>0</start>
      <end>2</end>
      <status>modified</status>
      <modifiedWord>6.</modifiedWord>
      <trackRevisions>false</trackRevisions>
    </reviewItem>
    <reviewItem>
      <errorID>c56ae793-d4af-4969-9fb7-ec57af0f9525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6D9ECA81</paraID>
      <start>0</start>
      <end>2</end>
      <status>modified</status>
      <modifiedWord>1.</modifiedWord>
      <trackRevisions>false</trackRevisions>
    </reviewItem>
    <reviewItem>
      <errorID>57f2b9a6-58eb-45fc-9b6a-bf6d0d51b7b6</errorID>
      <errorWord>员</errorWord>
      <group>L1_Word</group>
      <groupName>字词问题</groupName>
      <ability>L2_Typo</ability>
      <abilityName>字词错误</abilityName>
      <candidateList>
        <item>员在</item>
      </candidateList>
      <explain/>
      <paraID>6D9ECA81</paraID>
      <start>26</start>
      <end>27</end>
      <status>ignored</status>
      <modifiedWord/>
      <trackRevisions>false</trackRevisions>
    </reviewItem>
    <reviewItem>
      <errorID>5dd10e5d-6dd9-4756-b434-f123f5a43dc5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45E15883</paraID>
      <start>0</start>
      <end>2</end>
      <status>modified</status>
      <modifiedWord>2.</modifiedWord>
      <trackRevisions>false</trackRevisions>
    </reviewItem>
    <reviewItem>
      <errorID>ce1d6828-e593-4ac5-8e05-f471c55a5d96</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365E26B1</paraID>
      <start>0</start>
      <end>2</end>
      <status>modified</status>
      <modifiedWord>3.</modifiedWord>
      <trackRevisions>false</trackRevisions>
    </reviewItem>
    <reviewItem>
      <errorID>49462b3a-0369-4d23-814c-de57ce34c006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630DDE56</paraID>
      <start>0</start>
      <end>2</end>
      <status>modified</status>
      <modifiedWord>2.</modifiedWord>
      <trackRevisions>false</trackRevisions>
    </reviewItem>
    <reviewItem>
      <errorID>7c85b24b-0f88-47e1-ab79-2c81af3272fe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CBE730F</paraID>
      <start>0</start>
      <end>2</end>
      <status>modified</status>
      <modifiedWord>3.</modifiedWord>
      <trackRevisions>false</trackRevisions>
    </reviewItem>
    <reviewItem>
      <errorID>4a4070d0-4c60-4c05-8321-00371b265316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7C0BF6EC</paraID>
      <start>0</start>
      <end>2</end>
      <status>modified</status>
      <modifiedWord>1.</modifiedWord>
      <trackRevisions>false</trackRevisions>
    </reviewItem>
    <reviewItem>
      <errorID>a1bbfb11-7505-47f5-ba9e-10fc0eb45894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2DEA0F05</paraID>
      <start>0</start>
      <end>2</end>
      <status>modified</status>
      <modifiedWord>2.</modifiedWord>
      <trackRevisions>false</trackRevisions>
    </reviewItem>
    <reviewItem>
      <errorID>0abe5e9a-f435-4a3a-81e9-a7eebf5dee00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4C0D6F5F</paraID>
      <start>0</start>
      <end>2</end>
      <status>modified</status>
      <modifiedWord>3.</modifiedWord>
      <trackRevisions>false</trackRevisions>
    </reviewItem>
    <reviewItem>
      <errorID>b8f20aeb-1d4c-47c6-8788-ca38031e4af0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6CE1833C</paraID>
      <start>0</start>
      <end>2</end>
      <status>modified</status>
      <modifiedWord>4.</modifiedWord>
      <trackRevisions>false</trackRevisions>
    </reviewItem>
    <reviewItem>
      <errorID>c41a0bc0-3406-434e-9174-bff0a68abdb2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43C35AFA</paraID>
      <start>0</start>
      <end>2</end>
      <status>modified</status>
      <modifiedWord>1.</modifiedWord>
      <trackRevisions>false</trackRevisions>
    </reviewItem>
    <reviewItem>
      <errorID>10c1a75d-5d89-44f6-998c-615be6a81188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7E8276B2</paraID>
      <start>0</start>
      <end>2</end>
      <status>modified</status>
      <modifiedWord>2.</modifiedWord>
      <trackRevisions>false</trackRevisions>
    </reviewItem>
    <reviewItem>
      <errorID>ae1874b5-9953-4610-b3f4-7d37f972a3bd</errorID>
      <errorWord>：</errorWord>
      <group>L1_Format</group>
      <groupName>格式问题</groupName>
      <ability>L2_HalfPunc</ability>
      <abilityName>全半角检查</abilityName>
      <candidateList>
        <item>:</item>
      </candidateList>
      <explain>文本全半角错误。</explain>
      <paraID>4929445D</paraID>
      <start>78</start>
      <end>79</end>
      <status>modified</status>
      <modifiedWord>:</modifiedWord>
      <trackRevisions>false</trackRevisions>
    </reviewItem>
    <reviewItem>
      <errorID>fbe1f251-b2dc-4475-9549-45d42163c3ec</errorID>
      <errorWord>：</errorWord>
      <group>L1_Format</group>
      <groupName>格式问题</groupName>
      <ability>L2_HalfPunc</ability>
      <abilityName>全半角检查</abilityName>
      <candidateList>
        <item>:</item>
      </candidateList>
      <explain>文本全半角错误。</explain>
      <paraID>4929445D</paraID>
      <start>84</start>
      <end>85</end>
      <status>modified</status>
      <modifiedWord>:</modifiedWord>
      <trackRevisions>false</trackRevisions>
    </reviewItem>
    <reviewItem>
      <errorID>9ad8ef4b-864c-4317-889a-745bd559d079</errorID>
      <errorWord>:</errorWord>
      <group>L1_Format</group>
      <groupName>格式问题</groupName>
      <ability>L2_HalfPunc</ability>
      <abilityName>全半角检查</abilityName>
      <candidateList>
        <item>：</item>
      </candidateList>
      <explain>文本全半角错误。</explain>
      <paraID>5B0D7EC6</paraID>
      <start>1</start>
      <end>2</end>
      <status>modified</status>
      <modifiedWord>：</modifiedWord>
      <trackRevisions>false</trackRevisions>
    </reviewItem>
    <reviewItem>
      <errorID>dfbf836c-de30-470c-b1b0-bf4aa07f85c8</errorID>
      <errorWord>:</errorWord>
      <group>L1_Format</group>
      <groupName>格式问题</groupName>
      <ability>L2_HalfPunc</ability>
      <abilityName>全半角检查</abilityName>
      <candidateList>
        <item>：</item>
      </candidateList>
      <explain>文本全半角错误。</explain>
      <paraID>1210FD79</paraID>
      <start>4</start>
      <end>5</end>
      <status>modified</status>
      <modifiedWord>：</modifiedWord>
      <trackRevisions>false</trackRevisions>
    </reviewItem>
  </reviewItems>
  <config/>
</contractReview>
</file>

<file path=customXml/itemProps1.xml><?xml version="1.0" encoding="utf-8"?>
<ds:datastoreItem xmlns:ds="http://schemas.openxmlformats.org/officeDocument/2006/customXml" ds:itemID="{e1d7f36a-99bd-4484-9596-4dc75e7fcff8}">
  <ds:schemaRefs/>
</ds:datastoreItem>
</file>

<file path=docProps/app.xml><?xml version="1.0" encoding="utf-8"?>
<Properties xmlns="http://schemas.openxmlformats.org/officeDocument/2006/extended-properties" xmlns:vt="http://schemas.openxmlformats.org/officeDocument/2006/docPropsVTypes">
  <Template>Normal.dotm</Template>
  <Pages>12</Pages>
  <Words>5215</Words>
  <Characters>5435</Characters>
  <Lines>0</Lines>
  <Paragraphs>0</Paragraphs>
  <TotalTime>29</TotalTime>
  <ScaleCrop>false</ScaleCrop>
  <LinksUpToDate>false</LinksUpToDate>
  <CharactersWithSpaces>5499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2022-12-14T02:12:00Z</dcterms:created>
  <dc:creator>Administrator</dc:creator>
  <cp:lastModifiedBy>WPS_1756952891</cp:lastModifiedBy>
  <cp:lastPrinted>2026-04-28T09:41:00Z</cp:lastPrinted>
  <dcterms:modified xsi:type="dcterms:W3CDTF">2026-05-14T03:08:43Z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5594BEEFC33C407E8D6631D0BCB0F28C</vt:lpwstr>
  </property>
  <property fmtid="{D5CDD505-2E9C-101B-9397-08002B2CF9AE}" pid="4" name="KSOTemplateDocerSaveRecord">
    <vt:lpwstr>eyJoZGlkIjoiZWE3ZjBjMTQ1OTFhYWMyZWIwNzI2ZmRiYzg1YWM3MzkiLCJ1c2VySWQiOiIxNzM3NTg4NjA5In0=</vt:lpwstr>
  </property>
</Properties>
</file>