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r>
              <w:rPr>
                <w:rFonts w:hint="eastAsia"/>
              </w:rPr>
              <w:t>根据投标人近5年（自投标截止之日起倒推，以合同签订时间为准）在</w:t>
            </w:r>
            <w:r>
              <w:rPr>
                <w:rFonts w:hint="eastAsia"/>
                <w:lang w:val="en-US" w:eastAsia="zh-CN"/>
              </w:rPr>
              <w:t>国内</w:t>
            </w:r>
            <w:r>
              <w:rPr>
                <w:rFonts w:hint="eastAsia"/>
              </w:rPr>
              <w:t>承接的</w:t>
            </w:r>
            <w:r>
              <w:rPr>
                <w:rFonts w:hint="eastAsia"/>
                <w:lang w:val="en-US" w:eastAsia="zh-CN"/>
              </w:rPr>
              <w:t>同等五星级酒店拖鞋类采购合同（或者采购订单）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度拖鞋</w:t>
      </w:r>
      <w:bookmarkStart w:id="2" w:name="_GoBack"/>
      <w:bookmarkEnd w:id="2"/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002B73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3C26CAE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1372</Words>
  <Characters>1391</Characters>
  <Lines>1</Lines>
  <Paragraphs>3</Paragraphs>
  <TotalTime>51</TotalTime>
  <ScaleCrop>false</ScaleCrop>
  <LinksUpToDate>false</LinksUpToDate>
  <CharactersWithSpaces>1407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2026-01-24T12:59:14Z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