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878D96">
      <w:pPr>
        <w:spacing w:line="560" w:lineRule="exact"/>
        <w:jc w:val="left"/>
        <w:rPr>
          <w:rFonts w:ascii="黑体" w:hAnsi="黑体" w:eastAsia="黑体" w:cs="黑体"/>
          <w:b/>
          <w:sz w:val="32"/>
          <w:szCs w:val="32"/>
        </w:rPr>
      </w:pPr>
      <w:r>
        <w:rPr>
          <w:rFonts w:hint="eastAsia" w:ascii="黑体" w:hAnsi="黑体" w:eastAsia="黑体" w:cs="黑体"/>
          <w:b/>
          <w:sz w:val="32"/>
          <w:szCs w:val="32"/>
        </w:rPr>
        <w:t>附件1：</w:t>
      </w:r>
    </w:p>
    <w:p w14:paraId="06E76A6F">
      <w:pPr>
        <w:pStyle w:val="8"/>
      </w:pPr>
    </w:p>
    <w:p w14:paraId="2126B15A">
      <w:pPr>
        <w:spacing w:line="360" w:lineRule="auto"/>
        <w:jc w:val="center"/>
      </w:pPr>
      <w:r>
        <w:rPr>
          <w:rFonts w:hint="eastAsia" w:ascii="方正小标宋简体" w:hAnsi="方正小标宋简体" w:eastAsia="方正小标宋简体" w:cs="方正小标宋简体"/>
          <w:bCs/>
          <w:sz w:val="44"/>
          <w:szCs w:val="44"/>
          <w:lang w:val="en-US" w:eastAsia="zh-CN"/>
        </w:rPr>
        <w:t>深圳时尚小镇美憬阁精选2026年度</w:t>
      </w:r>
      <w:r>
        <w:rPr>
          <w:rFonts w:hint="eastAsia" w:ascii="方正小标宋简体" w:hAnsi="方正小标宋简体" w:eastAsia="方正小标宋简体" w:cs="方正小标宋简体"/>
          <w:bCs/>
          <w:sz w:val="44"/>
          <w:szCs w:val="44"/>
        </w:rPr>
        <w:t>酒店消防系统维护保养</w:t>
      </w:r>
      <w:bookmarkStart w:id="2" w:name="_GoBack"/>
      <w:bookmarkEnd w:id="2"/>
      <w:r>
        <w:rPr>
          <w:rFonts w:hint="eastAsia" w:ascii="方正小标宋简体" w:hAnsi="方正小标宋简体" w:eastAsia="方正小标宋简体" w:cs="方正小标宋简体"/>
          <w:bCs/>
          <w:sz w:val="44"/>
          <w:szCs w:val="44"/>
        </w:rPr>
        <w:t>采购招标方案</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2091"/>
        <w:gridCol w:w="6784"/>
      </w:tblGrid>
      <w:tr w14:paraId="2B3A3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841" w:type="dxa"/>
            <w:vAlign w:val="center"/>
          </w:tcPr>
          <w:p w14:paraId="15BBE405">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序号</w:t>
            </w:r>
          </w:p>
        </w:tc>
        <w:tc>
          <w:tcPr>
            <w:tcW w:w="2091" w:type="dxa"/>
            <w:vAlign w:val="center"/>
          </w:tcPr>
          <w:p w14:paraId="60E20C7F">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项目</w:t>
            </w:r>
          </w:p>
        </w:tc>
        <w:tc>
          <w:tcPr>
            <w:tcW w:w="6784" w:type="dxa"/>
            <w:vAlign w:val="center"/>
          </w:tcPr>
          <w:p w14:paraId="077959EE">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内容摘要说明</w:t>
            </w:r>
          </w:p>
        </w:tc>
      </w:tr>
      <w:tr w14:paraId="4B7E3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150D0E8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091" w:type="dxa"/>
            <w:vAlign w:val="center"/>
          </w:tcPr>
          <w:p w14:paraId="5409FA4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6784" w:type="dxa"/>
            <w:vAlign w:val="center"/>
          </w:tcPr>
          <w:p w14:paraId="76782D8D">
            <w:pPr>
              <w:widowControl/>
              <w:overflowPunct w:val="0"/>
              <w:adjustRightInd w:val="0"/>
              <w:snapToGrid w:val="0"/>
              <w:rPr>
                <w:rFonts w:ascii="仿宋_GB2312" w:hAnsi="仿宋_GB2312" w:eastAsia="仿宋_GB2312" w:cs="仿宋_GB2312"/>
                <w:sz w:val="24"/>
                <w:szCs w:val="24"/>
              </w:rPr>
            </w:pPr>
            <w:bookmarkStart w:id="0" w:name="_Hlk200120678"/>
            <w:r>
              <w:rPr>
                <w:rFonts w:hint="eastAsia" w:ascii="仿宋_GB2312" w:hAnsi="仿宋_GB2312" w:eastAsia="仿宋_GB2312" w:cs="仿宋_GB2312"/>
                <w:sz w:val="24"/>
                <w:szCs w:val="24"/>
              </w:rPr>
              <w:t>美憬阁酒店消防系统维护保养服务采购招标方案</w:t>
            </w:r>
            <w:bookmarkEnd w:id="0"/>
          </w:p>
        </w:tc>
      </w:tr>
      <w:tr w14:paraId="6B8DB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841" w:type="dxa"/>
            <w:tcBorders>
              <w:bottom w:val="single" w:color="000000" w:sz="4" w:space="0"/>
            </w:tcBorders>
            <w:vAlign w:val="center"/>
          </w:tcPr>
          <w:p w14:paraId="3FCEF204">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091" w:type="dxa"/>
            <w:tcBorders>
              <w:bottom w:val="single" w:color="000000" w:sz="4" w:space="0"/>
            </w:tcBorders>
            <w:vAlign w:val="center"/>
          </w:tcPr>
          <w:p w14:paraId="26EADB0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项目概况</w:t>
            </w:r>
          </w:p>
        </w:tc>
        <w:tc>
          <w:tcPr>
            <w:tcW w:w="6784" w:type="dxa"/>
            <w:tcBorders>
              <w:bottom w:val="single" w:color="000000" w:sz="4" w:space="0"/>
            </w:tcBorders>
            <w:vAlign w:val="center"/>
          </w:tcPr>
          <w:p w14:paraId="42B370A7">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项目位于深圳市龙华区大浪街道浪韵路8号，酒店建筑面积35663</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，建筑高度69.99m，地上15层，地下2层，酒店管理用房3506</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。客房总数263间，配套有全日制餐厅、中餐厅、大堂吧、酒廊、宴会厅、会议室、康体配套有健身房及游泳池。安全出口2个，疏散楼梯2个。</w:t>
            </w:r>
          </w:p>
        </w:tc>
      </w:tr>
      <w:tr w14:paraId="319B7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41" w:type="dxa"/>
            <w:tcBorders>
              <w:top w:val="single" w:color="000000" w:sz="4" w:space="0"/>
              <w:left w:val="single" w:color="000000" w:sz="4" w:space="0"/>
              <w:bottom w:val="single" w:color="000000" w:sz="4" w:space="0"/>
              <w:right w:val="single" w:color="000000" w:sz="4" w:space="0"/>
            </w:tcBorders>
            <w:vAlign w:val="center"/>
          </w:tcPr>
          <w:p w14:paraId="536A5EF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091" w:type="dxa"/>
            <w:tcBorders>
              <w:top w:val="single" w:color="000000" w:sz="4" w:space="0"/>
              <w:left w:val="single" w:color="000000" w:sz="4" w:space="0"/>
              <w:bottom w:val="single" w:color="000000" w:sz="4" w:space="0"/>
              <w:right w:val="single" w:color="000000" w:sz="4" w:space="0"/>
            </w:tcBorders>
            <w:vAlign w:val="center"/>
          </w:tcPr>
          <w:p w14:paraId="45494ED7">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招标内容</w:t>
            </w:r>
          </w:p>
        </w:tc>
        <w:tc>
          <w:tcPr>
            <w:tcW w:w="6784" w:type="dxa"/>
            <w:tcBorders>
              <w:top w:val="single" w:color="000000" w:sz="4" w:space="0"/>
              <w:left w:val="single" w:color="000000" w:sz="4" w:space="0"/>
              <w:bottom w:val="single" w:color="000000" w:sz="4" w:space="0"/>
              <w:right w:val="single" w:color="000000" w:sz="4" w:space="0"/>
            </w:tcBorders>
            <w:vAlign w:val="center"/>
          </w:tcPr>
          <w:p w14:paraId="2C70C804">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本次招标为美憬阁酒店消防系统维护保养招标（维护保养清单），招标范围包括但不限于：</w:t>
            </w:r>
          </w:p>
          <w:p w14:paraId="474F810D">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一、消防设施维护、维修范围：</w:t>
            </w:r>
          </w:p>
          <w:p w14:paraId="58A65450">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1.火灾自动报警系统；</w:t>
            </w:r>
          </w:p>
          <w:p w14:paraId="49FDE034">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2.消防供配电系统；</w:t>
            </w:r>
          </w:p>
          <w:p w14:paraId="3BC64DE9">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3.应急广播系统；</w:t>
            </w:r>
          </w:p>
          <w:p w14:paraId="70C6274D">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4.消防电话系统；</w:t>
            </w:r>
          </w:p>
          <w:p w14:paraId="1E0C2A44">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5.消防供水设施；</w:t>
            </w:r>
          </w:p>
          <w:p w14:paraId="709A9304">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6.电气火灾监控系统；</w:t>
            </w:r>
          </w:p>
          <w:p w14:paraId="51AD1C1F">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7.可燃气体报警系统；</w:t>
            </w:r>
          </w:p>
          <w:p w14:paraId="38BA03F7">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8.消防联动系统</w:t>
            </w:r>
          </w:p>
          <w:p w14:paraId="6C7DD32C">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9.自动喷水灭火系统；</w:t>
            </w:r>
          </w:p>
          <w:p w14:paraId="008D4C0A">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10.消火栓系统；</w:t>
            </w:r>
          </w:p>
          <w:p w14:paraId="7A290A58">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11.气体灭火系统；</w:t>
            </w:r>
          </w:p>
          <w:p w14:paraId="4DD90E7F">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12.防火门、卷帘门等分隔设施；</w:t>
            </w:r>
          </w:p>
          <w:p w14:paraId="142D2026">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13.防排烟系统；</w:t>
            </w:r>
          </w:p>
          <w:p w14:paraId="4341130A">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14.消防中控室；</w:t>
            </w:r>
          </w:p>
          <w:p w14:paraId="615C69CF">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15.应急照明、疏散指示。</w:t>
            </w:r>
          </w:p>
          <w:p w14:paraId="20871096">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二、维护标准及要求：</w:t>
            </w:r>
          </w:p>
          <w:p w14:paraId="1B409D29">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1.保证系统正常工作（检测依据《建筑消防设施的维护管理》GB25201-2010/深圳市《消防技术服务机构服务规范》GB4403/T338-2023。</w:t>
            </w:r>
          </w:p>
          <w:p w14:paraId="70244D93">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2.维护质量必须符合双方核定的竣工图纸的要求，并且满足现行消防规范的要求。</w:t>
            </w:r>
          </w:p>
          <w:p w14:paraId="70117849">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3.每月按计划抽样测试部分设备，致使一年内所有设备全部测试一遍。</w:t>
            </w:r>
          </w:p>
          <w:p w14:paraId="397C63C5">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4.派专人常驻工作，发现问题及时处理，一般问题12小时内到现场解决，紧急报修接到通知2小时内到达现场，6小时内检修并解除故障。</w:t>
            </w:r>
          </w:p>
          <w:p w14:paraId="085EA5DF">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5.按建筑消防设施检查维修保养服务方式，计划进行检查、维护，提供详细的月检、季检及年度试验报告。</w:t>
            </w:r>
          </w:p>
          <w:p w14:paraId="1F5F2BF0">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6.维保期间内，所需的材料、元器件、配件在人民币500元以内的由维保单位负责。</w:t>
            </w:r>
          </w:p>
          <w:p w14:paraId="21E0083F">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7.协助或完全负责同消防部门的业务，确保不因消防问题而耽误其它工作的正常进行。</w:t>
            </w:r>
          </w:p>
          <w:p w14:paraId="7FBE9E8B">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8.酒店属在运营状态，维护过程中因酒店经营需求停工、误工等所产生的一切费用均由承包人承担。</w:t>
            </w:r>
          </w:p>
          <w:p w14:paraId="2B2F7081">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9.具体工作内容以招标工程量清单为准。承包人不能拒绝执行为完成本项工程而需执行的可能遗漏的工程项目。发包人有权力根据需要进行调整，承包人须无条件接受发包人提出的变更要求，并按要求调整维保范围及内容。</w:t>
            </w:r>
          </w:p>
          <w:p w14:paraId="16B9AADE">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10.承包人在投标前需到酒店进行现场勘察，参与项目投标时，需有酒店工程部签发的《工程改造现场勘察确认单》与报价单一并投放方为有效，否则贵司报价视为无效报价。</w:t>
            </w:r>
          </w:p>
        </w:tc>
      </w:tr>
      <w:tr w14:paraId="0ADD3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tcBorders>
              <w:top w:val="single" w:color="000000" w:sz="4" w:space="0"/>
              <w:left w:val="single" w:color="000000" w:sz="4" w:space="0"/>
              <w:bottom w:val="single" w:color="000000" w:sz="4" w:space="0"/>
              <w:right w:val="single" w:color="000000" w:sz="4" w:space="0"/>
            </w:tcBorders>
            <w:vAlign w:val="center"/>
          </w:tcPr>
          <w:p w14:paraId="2BFA4E5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091" w:type="dxa"/>
            <w:tcBorders>
              <w:top w:val="single" w:color="000000" w:sz="4" w:space="0"/>
              <w:left w:val="single" w:color="000000" w:sz="4" w:space="0"/>
              <w:bottom w:val="single" w:color="000000" w:sz="4" w:space="0"/>
              <w:right w:val="single" w:color="000000" w:sz="4" w:space="0"/>
            </w:tcBorders>
            <w:vAlign w:val="center"/>
          </w:tcPr>
          <w:p w14:paraId="03DFE75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投标上限价</w:t>
            </w:r>
          </w:p>
        </w:tc>
        <w:tc>
          <w:tcPr>
            <w:tcW w:w="6784" w:type="dxa"/>
            <w:tcBorders>
              <w:top w:val="single" w:color="000000" w:sz="4" w:space="0"/>
              <w:left w:val="single" w:color="000000" w:sz="4" w:space="0"/>
              <w:bottom w:val="single" w:color="000000" w:sz="4" w:space="0"/>
              <w:right w:val="single" w:color="000000" w:sz="4" w:space="0"/>
            </w:tcBorders>
            <w:vAlign w:val="center"/>
          </w:tcPr>
          <w:p w14:paraId="6446E5C2">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投标上限价：</w:t>
            </w:r>
            <w:r>
              <w:rPr>
                <w:rFonts w:ascii="仿宋_GB2312" w:hAnsi="仿宋_GB2312" w:eastAsia="仿宋_GB2312" w:cs="仿宋_GB2312"/>
                <w:sz w:val="24"/>
                <w:szCs w:val="24"/>
              </w:rPr>
              <w:t>12</w:t>
            </w:r>
            <w:r>
              <w:rPr>
                <w:rFonts w:hint="eastAsia" w:ascii="仿宋_GB2312" w:hAnsi="仿宋_GB2312" w:eastAsia="仿宋_GB2312" w:cs="仿宋_GB2312"/>
                <w:sz w:val="24"/>
                <w:szCs w:val="24"/>
              </w:rPr>
              <w:t>万元</w:t>
            </w:r>
          </w:p>
        </w:tc>
      </w:tr>
      <w:tr w14:paraId="55AAE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tcBorders>
              <w:top w:val="single" w:color="000000" w:sz="4" w:space="0"/>
            </w:tcBorders>
            <w:vAlign w:val="center"/>
          </w:tcPr>
          <w:p w14:paraId="581EFA28">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091" w:type="dxa"/>
            <w:tcBorders>
              <w:top w:val="single" w:color="000000" w:sz="4" w:space="0"/>
            </w:tcBorders>
            <w:vAlign w:val="center"/>
          </w:tcPr>
          <w:p w14:paraId="3EC87B6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计价方式</w:t>
            </w:r>
          </w:p>
        </w:tc>
        <w:tc>
          <w:tcPr>
            <w:tcW w:w="6784" w:type="dxa"/>
            <w:tcBorders>
              <w:top w:val="single" w:color="000000" w:sz="4" w:space="0"/>
            </w:tcBorders>
            <w:vAlign w:val="center"/>
          </w:tcPr>
          <w:p w14:paraId="28C05A05">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采用固定总价合同，结算时不予调整。</w:t>
            </w:r>
          </w:p>
        </w:tc>
      </w:tr>
      <w:tr w14:paraId="29D95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3DE1ED0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2091" w:type="dxa"/>
            <w:vAlign w:val="center"/>
          </w:tcPr>
          <w:p w14:paraId="774425C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工期</w:t>
            </w:r>
          </w:p>
        </w:tc>
        <w:tc>
          <w:tcPr>
            <w:tcW w:w="6784" w:type="dxa"/>
            <w:vAlign w:val="center"/>
          </w:tcPr>
          <w:p w14:paraId="37F94D03">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一年</w:t>
            </w:r>
          </w:p>
        </w:tc>
      </w:tr>
      <w:tr w14:paraId="1A93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36346D4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2091" w:type="dxa"/>
            <w:vAlign w:val="center"/>
          </w:tcPr>
          <w:p w14:paraId="43C21EF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招标方式</w:t>
            </w:r>
          </w:p>
        </w:tc>
        <w:tc>
          <w:tcPr>
            <w:tcW w:w="6784" w:type="dxa"/>
            <w:vAlign w:val="center"/>
          </w:tcPr>
          <w:p w14:paraId="0388C700">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公开遴选（深圳市龙华建设发展集团有限公司网站、深圳阳光采购平台）</w:t>
            </w:r>
          </w:p>
        </w:tc>
      </w:tr>
      <w:tr w14:paraId="1EB8D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41" w:type="dxa"/>
            <w:vAlign w:val="center"/>
          </w:tcPr>
          <w:p w14:paraId="52117D69">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2091" w:type="dxa"/>
            <w:vAlign w:val="center"/>
          </w:tcPr>
          <w:p w14:paraId="1348477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资格审查</w:t>
            </w:r>
          </w:p>
          <w:p w14:paraId="392A0C6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方式</w:t>
            </w:r>
          </w:p>
        </w:tc>
        <w:tc>
          <w:tcPr>
            <w:tcW w:w="6784" w:type="dxa"/>
            <w:vAlign w:val="center"/>
          </w:tcPr>
          <w:p w14:paraId="0DB1CF30">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资格后审</w:t>
            </w:r>
          </w:p>
        </w:tc>
      </w:tr>
      <w:tr w14:paraId="6817C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841" w:type="dxa"/>
            <w:vAlign w:val="center"/>
          </w:tcPr>
          <w:p w14:paraId="62E4592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9</w:t>
            </w:r>
          </w:p>
        </w:tc>
        <w:tc>
          <w:tcPr>
            <w:tcW w:w="2091" w:type="dxa"/>
            <w:vAlign w:val="center"/>
          </w:tcPr>
          <w:p w14:paraId="2E0E9DF3">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投标人资格</w:t>
            </w:r>
          </w:p>
          <w:p w14:paraId="38F57734">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要求</w:t>
            </w:r>
          </w:p>
        </w:tc>
        <w:tc>
          <w:tcPr>
            <w:tcW w:w="6784" w:type="dxa"/>
            <w:vAlign w:val="center"/>
          </w:tcPr>
          <w:p w14:paraId="652399A3">
            <w:pPr>
              <w:spacing w:line="30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投标人需同时满足下列条件：</w:t>
            </w:r>
          </w:p>
          <w:p w14:paraId="5E896AB1">
            <w:pPr>
              <w:spacing w:line="300" w:lineRule="exact"/>
              <w:rPr>
                <w:rFonts w:ascii="仿宋_GB2312" w:hAnsi="仿宋_GB2312" w:eastAsia="仿宋_GB2312" w:cs="仿宋_GB2312"/>
                <w:kern w:val="0"/>
                <w:sz w:val="24"/>
                <w:szCs w:val="24"/>
              </w:rPr>
            </w:pPr>
            <w:bookmarkStart w:id="1" w:name="_Hlk211874942"/>
            <w:r>
              <w:rPr>
                <w:rFonts w:hint="eastAsia" w:ascii="仿宋_GB2312" w:hAnsi="仿宋_GB2312" w:eastAsia="仿宋_GB2312" w:cs="仿宋_GB2312"/>
                <w:kern w:val="0"/>
                <w:sz w:val="24"/>
                <w:szCs w:val="24"/>
              </w:rPr>
              <w:t>1.具有独立法人资格或合伙制企业或其他组织资格;</w:t>
            </w:r>
          </w:p>
          <w:p w14:paraId="71830350">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2</w:t>
            </w:r>
            <w:r>
              <w:rPr>
                <w:rFonts w:hint="eastAsia" w:ascii="仿宋_GB2312" w:hAnsi="仿宋_GB2312" w:eastAsia="仿宋_GB2312" w:cs="仿宋_GB2312"/>
                <w:kern w:val="0"/>
                <w:sz w:val="24"/>
                <w:szCs w:val="24"/>
              </w:rPr>
              <w:t>.取得消防设施维护保养检测机构一级资质三年以上。</w:t>
            </w:r>
          </w:p>
          <w:p w14:paraId="28B9F966">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3</w:t>
            </w:r>
            <w:r>
              <w:rPr>
                <w:rFonts w:hint="eastAsia" w:ascii="仿宋_GB2312" w:hAnsi="仿宋_GB2312" w:eastAsia="仿宋_GB2312" w:cs="仿宋_GB2312"/>
                <w:kern w:val="0"/>
                <w:sz w:val="24"/>
                <w:szCs w:val="24"/>
              </w:rPr>
              <w:t>.近三年内没有违法执业行为记录。</w:t>
            </w:r>
          </w:p>
          <w:p w14:paraId="6C0BB087">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4</w:t>
            </w:r>
            <w:r>
              <w:rPr>
                <w:rFonts w:hint="eastAsia" w:ascii="仿宋_GB2312" w:hAnsi="仿宋_GB2312" w:eastAsia="仿宋_GB2312" w:cs="仿宋_GB2312"/>
                <w:kern w:val="0"/>
                <w:sz w:val="24"/>
                <w:szCs w:val="24"/>
              </w:rPr>
              <w:t>.操作人员需取得中级技能等级以上建筑物消防员职业资格证书。</w:t>
            </w:r>
          </w:p>
          <w:p w14:paraId="7E835C5B">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5</w:t>
            </w:r>
            <w:r>
              <w:rPr>
                <w:rFonts w:hint="eastAsia" w:ascii="仿宋_GB2312" w:hAnsi="仿宋_GB2312" w:eastAsia="仿宋_GB2312" w:cs="仿宋_GB2312"/>
                <w:kern w:val="0"/>
                <w:sz w:val="24"/>
                <w:szCs w:val="24"/>
              </w:rPr>
              <w:t>.三年内应从事过至少三家五星级品牌酒店的消防设施维护保养检测活动。</w:t>
            </w:r>
          </w:p>
          <w:p w14:paraId="1D1EF484">
            <w:pPr>
              <w:pStyle w:val="2"/>
              <w:spacing w:line="300" w:lineRule="exact"/>
              <w:ind w:left="0" w:leftChars="0" w:firstLine="0" w:firstLineChars="0"/>
              <w:rPr>
                <w:rFonts w:ascii="仿宋_GB2312" w:hAnsi="仿宋_GB2312" w:eastAsia="仿宋_GB2312" w:cs="仿宋_GB2312"/>
                <w:sz w:val="24"/>
              </w:rPr>
            </w:pPr>
            <w:r>
              <w:rPr>
                <w:rFonts w:ascii="仿宋_GB2312" w:hAnsi="仿宋_GB2312" w:eastAsia="仿宋_GB2312" w:cs="仿宋_GB2312"/>
                <w:sz w:val="24"/>
              </w:rPr>
              <w:t>6</w:t>
            </w:r>
            <w:r>
              <w:rPr>
                <w:rFonts w:hint="eastAsia" w:ascii="仿宋_GB2312" w:hAnsi="仿宋_GB2312" w:eastAsia="仿宋_GB2312" w:cs="仿宋_GB2312"/>
                <w:sz w:val="24"/>
              </w:rPr>
              <w:t>.需满足法律、行政法规规定的其他条件。</w:t>
            </w:r>
          </w:p>
          <w:p w14:paraId="062FAA98">
            <w:pPr>
              <w:pStyle w:val="2"/>
              <w:spacing w:line="300" w:lineRule="exact"/>
              <w:ind w:left="0" w:leftChars="0" w:firstLine="0" w:firstLineChars="0"/>
              <w:rPr>
                <w:rFonts w:ascii="仿宋_GB2312" w:hAnsi="仿宋_GB2312" w:eastAsia="仿宋_GB2312" w:cs="仿宋_GB2312"/>
                <w:sz w:val="24"/>
              </w:rPr>
            </w:pPr>
            <w:r>
              <w:rPr>
                <w:rFonts w:ascii="仿宋_GB2312" w:hAnsi="仿宋_GB2312" w:eastAsia="仿宋_GB2312" w:cs="仿宋_GB2312"/>
                <w:sz w:val="24"/>
              </w:rPr>
              <w:t>7</w:t>
            </w:r>
            <w:r>
              <w:rPr>
                <w:rFonts w:hint="eastAsia" w:ascii="仿宋_GB2312" w:hAnsi="仿宋_GB2312" w:eastAsia="仿宋_GB2312" w:cs="仿宋_GB2312"/>
                <w:sz w:val="24"/>
              </w:rPr>
              <w:t>.本项目不接受联合体投标。</w:t>
            </w:r>
            <w:bookmarkEnd w:id="1"/>
          </w:p>
        </w:tc>
      </w:tr>
      <w:tr w14:paraId="146DF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841" w:type="dxa"/>
            <w:vAlign w:val="center"/>
          </w:tcPr>
          <w:p w14:paraId="53827868">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w:t>
            </w:r>
          </w:p>
        </w:tc>
        <w:tc>
          <w:tcPr>
            <w:tcW w:w="2091" w:type="dxa"/>
            <w:vAlign w:val="center"/>
          </w:tcPr>
          <w:p w14:paraId="36F4F6A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评定标方式</w:t>
            </w:r>
          </w:p>
        </w:tc>
        <w:tc>
          <w:tcPr>
            <w:tcW w:w="6784" w:type="dxa"/>
            <w:vAlign w:val="center"/>
          </w:tcPr>
          <w:p w14:paraId="1B9FDA9C">
            <w:pPr>
              <w:rPr>
                <w:rFonts w:ascii="仿宋_GB2312" w:hAnsi="仿宋_GB2312" w:eastAsia="仿宋_GB2312" w:cs="仿宋_GB2312"/>
                <w:sz w:val="24"/>
                <w:szCs w:val="24"/>
              </w:rPr>
            </w:pPr>
            <w:r>
              <w:rPr>
                <w:rFonts w:hint="eastAsia" w:ascii="仿宋_GB2312" w:hAnsi="仿宋_GB2312" w:eastAsia="仿宋_GB2312" w:cs="仿宋_GB2312"/>
                <w:b/>
                <w:bCs/>
                <w:sz w:val="24"/>
                <w:szCs w:val="24"/>
              </w:rPr>
              <w:t>价格竞争法</w:t>
            </w:r>
            <w:r>
              <w:rPr>
                <w:rFonts w:hint="eastAsia" w:ascii="仿宋_GB2312" w:hAnsi="仿宋_GB2312" w:eastAsia="仿宋_GB2312" w:cs="仿宋_GB2312"/>
                <w:sz w:val="24"/>
                <w:szCs w:val="24"/>
              </w:rPr>
              <w:t>。经评审投标报价总净价最低者为中标人。</w:t>
            </w:r>
            <w:r>
              <w:rPr>
                <w:rFonts w:ascii="仿宋_GB2312" w:hAnsi="仿宋_GB2312" w:eastAsia="仿宋_GB2312" w:cs="仿宋_GB2312"/>
                <w:sz w:val="24"/>
                <w:szCs w:val="24"/>
              </w:rPr>
              <w:t>若最低</w:t>
            </w:r>
            <w:r>
              <w:rPr>
                <w:rFonts w:hint="eastAsia" w:ascii="仿宋_GB2312" w:hAnsi="仿宋_GB2312" w:eastAsia="仿宋_GB2312" w:cs="仿宋_GB2312"/>
                <w:sz w:val="24"/>
                <w:szCs w:val="24"/>
              </w:rPr>
              <w:t>总净</w:t>
            </w:r>
            <w:r>
              <w:rPr>
                <w:rFonts w:ascii="仿宋_GB2312" w:hAnsi="仿宋_GB2312" w:eastAsia="仿宋_GB2312" w:cs="仿宋_GB2312"/>
                <w:sz w:val="24"/>
                <w:szCs w:val="24"/>
              </w:rPr>
              <w:t>价有并列的情况，</w:t>
            </w:r>
            <w:r>
              <w:rPr>
                <w:rFonts w:hint="eastAsia" w:ascii="仿宋_GB2312" w:hAnsi="仿宋_GB2312" w:eastAsia="仿宋_GB2312" w:cs="仿宋_GB2312"/>
                <w:sz w:val="24"/>
                <w:szCs w:val="24"/>
              </w:rPr>
              <w:t>则通过抽签确定中标人。</w:t>
            </w:r>
          </w:p>
        </w:tc>
      </w:tr>
      <w:tr w14:paraId="563D3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841" w:type="dxa"/>
            <w:vAlign w:val="center"/>
          </w:tcPr>
          <w:p w14:paraId="6C4BF709">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11</w:t>
            </w:r>
          </w:p>
        </w:tc>
        <w:tc>
          <w:tcPr>
            <w:tcW w:w="2091" w:type="dxa"/>
            <w:vAlign w:val="center"/>
          </w:tcPr>
          <w:p w14:paraId="21A4C855">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定标小组</w:t>
            </w:r>
          </w:p>
          <w:p w14:paraId="79611283">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组建方式</w:t>
            </w:r>
          </w:p>
        </w:tc>
        <w:tc>
          <w:tcPr>
            <w:tcW w:w="6784" w:type="dxa"/>
            <w:vAlign w:val="center"/>
          </w:tcPr>
          <w:p w14:paraId="20BFAACA">
            <w:pPr>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22ADA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841" w:type="dxa"/>
            <w:vAlign w:val="center"/>
          </w:tcPr>
          <w:p w14:paraId="734FFF7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12</w:t>
            </w:r>
          </w:p>
        </w:tc>
        <w:tc>
          <w:tcPr>
            <w:tcW w:w="2091" w:type="dxa"/>
            <w:vAlign w:val="center"/>
          </w:tcPr>
          <w:p w14:paraId="61B6FE15">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履约保函</w:t>
            </w:r>
          </w:p>
        </w:tc>
        <w:tc>
          <w:tcPr>
            <w:tcW w:w="6784" w:type="dxa"/>
            <w:vAlign w:val="center"/>
          </w:tcPr>
          <w:p w14:paraId="254DE145">
            <w:pPr>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5A586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1" w:type="dxa"/>
            <w:vAlign w:val="center"/>
          </w:tcPr>
          <w:p w14:paraId="339E332F">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13</w:t>
            </w:r>
          </w:p>
        </w:tc>
        <w:tc>
          <w:tcPr>
            <w:tcW w:w="2091" w:type="dxa"/>
            <w:vAlign w:val="center"/>
          </w:tcPr>
          <w:p w14:paraId="46EC9964">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合同款支付</w:t>
            </w:r>
          </w:p>
        </w:tc>
        <w:tc>
          <w:tcPr>
            <w:tcW w:w="6784" w:type="dxa"/>
            <w:vAlign w:val="center"/>
          </w:tcPr>
          <w:p w14:paraId="75480925">
            <w:pPr>
              <w:pStyle w:val="10"/>
              <w:ind w:left="0" w:firstLine="0"/>
              <w:rPr>
                <w:lang w:eastAsia="zh-CN"/>
              </w:rPr>
            </w:pPr>
            <w:r>
              <w:rPr>
                <w:rFonts w:hint="eastAsia" w:ascii="仿宋_GB2312" w:hAnsi="仿宋_GB2312" w:eastAsia="仿宋_GB2312" w:cs="仿宋_GB2312"/>
                <w:sz w:val="24"/>
                <w:szCs w:val="24"/>
                <w:lang w:eastAsia="zh-CN"/>
              </w:rPr>
              <w:t>1.按季度支付；</w:t>
            </w:r>
          </w:p>
        </w:tc>
      </w:tr>
      <w:tr w14:paraId="1AE7A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6E5A64A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14</w:t>
            </w:r>
          </w:p>
        </w:tc>
        <w:tc>
          <w:tcPr>
            <w:tcW w:w="2091" w:type="dxa"/>
            <w:vAlign w:val="center"/>
          </w:tcPr>
          <w:p w14:paraId="13598A88">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评标细则</w:t>
            </w:r>
          </w:p>
        </w:tc>
        <w:tc>
          <w:tcPr>
            <w:tcW w:w="6784" w:type="dxa"/>
            <w:vAlign w:val="center"/>
          </w:tcPr>
          <w:p w14:paraId="2DBC3651">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47D94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1F492DC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15</w:t>
            </w:r>
          </w:p>
        </w:tc>
        <w:tc>
          <w:tcPr>
            <w:tcW w:w="2091" w:type="dxa"/>
            <w:vAlign w:val="center"/>
          </w:tcPr>
          <w:p w14:paraId="6CC06BFF">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6784" w:type="dxa"/>
            <w:vAlign w:val="center"/>
          </w:tcPr>
          <w:p w14:paraId="05712D5E">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w:t>
            </w:r>
          </w:p>
        </w:tc>
      </w:tr>
    </w:tbl>
    <w:p w14:paraId="393ACEB6">
      <w:pPr>
        <w:overflowPunct w:val="0"/>
        <w:adjustRightInd w:val="0"/>
        <w:snapToGrid w:val="0"/>
        <w:rPr>
          <w:rFonts w:ascii="仿宋_GB2312" w:hAnsi="仿宋_GB2312" w:eastAsia="仿宋_GB2312" w:cs="仿宋_GB2312"/>
          <w:b/>
          <w:bCs/>
          <w:sz w:val="40"/>
          <w:szCs w:val="40"/>
        </w:rPr>
      </w:pPr>
    </w:p>
    <w:sectPr>
      <w:headerReference r:id="rId3" w:type="default"/>
      <w:footerReference r:id="rId4" w:type="default"/>
      <w:pgSz w:w="11906" w:h="16838"/>
      <w:pgMar w:top="1440" w:right="1077" w:bottom="1440" w:left="107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11943">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39362B">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239362B">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6949E">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3"/>
      <w:numFmt w:val="japaneseCounting"/>
      <w:pStyle w:val="46"/>
      <w:lvlText w:val="第%1章"/>
      <w:lvlJc w:val="left"/>
      <w:pPr>
        <w:tabs>
          <w:tab w:val="left" w:pos="1455"/>
        </w:tabs>
        <w:ind w:left="1455" w:hanging="145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0OGQyMGExYTRlOWQ0ZTc3YTk2YjcyMDE5MDExYWEifQ=="/>
    <w:docVar w:name="KSO_WPS_MARK_KEY" w:val="a95cc388-fcf7-45d2-9c21-ee678e50237e"/>
  </w:docVars>
  <w:rsids>
    <w:rsidRoot w:val="028143E5"/>
    <w:rsid w:val="000C085F"/>
    <w:rsid w:val="000D5741"/>
    <w:rsid w:val="000D7EEB"/>
    <w:rsid w:val="00160012"/>
    <w:rsid w:val="00182905"/>
    <w:rsid w:val="001915DD"/>
    <w:rsid w:val="001A2968"/>
    <w:rsid w:val="001B5838"/>
    <w:rsid w:val="001D4F5E"/>
    <w:rsid w:val="001D7ED2"/>
    <w:rsid w:val="001E0BAC"/>
    <w:rsid w:val="001E31CA"/>
    <w:rsid w:val="001E4EDC"/>
    <w:rsid w:val="001E6FE7"/>
    <w:rsid w:val="001F6029"/>
    <w:rsid w:val="0020597A"/>
    <w:rsid w:val="00222F19"/>
    <w:rsid w:val="0023250D"/>
    <w:rsid w:val="00237E7D"/>
    <w:rsid w:val="0025013F"/>
    <w:rsid w:val="00272089"/>
    <w:rsid w:val="002866E8"/>
    <w:rsid w:val="00293624"/>
    <w:rsid w:val="002937B5"/>
    <w:rsid w:val="002C368A"/>
    <w:rsid w:val="00301E8C"/>
    <w:rsid w:val="00310C33"/>
    <w:rsid w:val="00333376"/>
    <w:rsid w:val="003766E4"/>
    <w:rsid w:val="003B0999"/>
    <w:rsid w:val="003C42F4"/>
    <w:rsid w:val="00400047"/>
    <w:rsid w:val="00407B4E"/>
    <w:rsid w:val="00415C70"/>
    <w:rsid w:val="00460029"/>
    <w:rsid w:val="00515C5E"/>
    <w:rsid w:val="005738FA"/>
    <w:rsid w:val="00590262"/>
    <w:rsid w:val="005A013A"/>
    <w:rsid w:val="005B30FD"/>
    <w:rsid w:val="00632B02"/>
    <w:rsid w:val="00647AFE"/>
    <w:rsid w:val="00653579"/>
    <w:rsid w:val="00680C2D"/>
    <w:rsid w:val="00685B1A"/>
    <w:rsid w:val="00763026"/>
    <w:rsid w:val="00791D0B"/>
    <w:rsid w:val="007958E0"/>
    <w:rsid w:val="007A51F1"/>
    <w:rsid w:val="00802D25"/>
    <w:rsid w:val="0081147C"/>
    <w:rsid w:val="00817253"/>
    <w:rsid w:val="008364DF"/>
    <w:rsid w:val="008A0FEA"/>
    <w:rsid w:val="008C4C07"/>
    <w:rsid w:val="00940390"/>
    <w:rsid w:val="00946AD8"/>
    <w:rsid w:val="00970E6D"/>
    <w:rsid w:val="00975490"/>
    <w:rsid w:val="009F4DCD"/>
    <w:rsid w:val="009F609E"/>
    <w:rsid w:val="00A0568B"/>
    <w:rsid w:val="00A53917"/>
    <w:rsid w:val="00A54052"/>
    <w:rsid w:val="00A82723"/>
    <w:rsid w:val="00A829EC"/>
    <w:rsid w:val="00A83F74"/>
    <w:rsid w:val="00A90D22"/>
    <w:rsid w:val="00A949D1"/>
    <w:rsid w:val="00AC1CAD"/>
    <w:rsid w:val="00AC5AEB"/>
    <w:rsid w:val="00AC5E55"/>
    <w:rsid w:val="00AD25F9"/>
    <w:rsid w:val="00B0567E"/>
    <w:rsid w:val="00B2090B"/>
    <w:rsid w:val="00B471A9"/>
    <w:rsid w:val="00BB6EF1"/>
    <w:rsid w:val="00BE0835"/>
    <w:rsid w:val="00C01772"/>
    <w:rsid w:val="00C25826"/>
    <w:rsid w:val="00C7353A"/>
    <w:rsid w:val="00CE7171"/>
    <w:rsid w:val="00D525B6"/>
    <w:rsid w:val="00D911D3"/>
    <w:rsid w:val="00DB66E4"/>
    <w:rsid w:val="00DC048D"/>
    <w:rsid w:val="00DD39DB"/>
    <w:rsid w:val="00E27288"/>
    <w:rsid w:val="00E34CE8"/>
    <w:rsid w:val="00E90CFF"/>
    <w:rsid w:val="00EE60AF"/>
    <w:rsid w:val="00EF0EFC"/>
    <w:rsid w:val="00F05D87"/>
    <w:rsid w:val="00F12250"/>
    <w:rsid w:val="00F172E1"/>
    <w:rsid w:val="00F22D0A"/>
    <w:rsid w:val="00F8247F"/>
    <w:rsid w:val="00FB3CFF"/>
    <w:rsid w:val="00FE457A"/>
    <w:rsid w:val="00FE6C92"/>
    <w:rsid w:val="012226E8"/>
    <w:rsid w:val="015363DB"/>
    <w:rsid w:val="01C154E0"/>
    <w:rsid w:val="01D70512"/>
    <w:rsid w:val="020010B3"/>
    <w:rsid w:val="0216427A"/>
    <w:rsid w:val="02236A86"/>
    <w:rsid w:val="02266421"/>
    <w:rsid w:val="02306473"/>
    <w:rsid w:val="02454DC9"/>
    <w:rsid w:val="02504F97"/>
    <w:rsid w:val="028143E5"/>
    <w:rsid w:val="02D46145"/>
    <w:rsid w:val="035053D4"/>
    <w:rsid w:val="03793EC1"/>
    <w:rsid w:val="03952535"/>
    <w:rsid w:val="03C020B7"/>
    <w:rsid w:val="03C07382"/>
    <w:rsid w:val="04784101"/>
    <w:rsid w:val="04E35FEA"/>
    <w:rsid w:val="04E53C77"/>
    <w:rsid w:val="04ED41A7"/>
    <w:rsid w:val="052C6D8B"/>
    <w:rsid w:val="05317236"/>
    <w:rsid w:val="05D610DF"/>
    <w:rsid w:val="06092CD1"/>
    <w:rsid w:val="06447858"/>
    <w:rsid w:val="064C2819"/>
    <w:rsid w:val="066B0162"/>
    <w:rsid w:val="066D39BE"/>
    <w:rsid w:val="06AF0770"/>
    <w:rsid w:val="06B238FA"/>
    <w:rsid w:val="07747449"/>
    <w:rsid w:val="077F6CC7"/>
    <w:rsid w:val="079429FD"/>
    <w:rsid w:val="08036534"/>
    <w:rsid w:val="082D048F"/>
    <w:rsid w:val="083F3022"/>
    <w:rsid w:val="0847419E"/>
    <w:rsid w:val="0922785F"/>
    <w:rsid w:val="092A3D98"/>
    <w:rsid w:val="096D5B06"/>
    <w:rsid w:val="09AD2157"/>
    <w:rsid w:val="09DB3168"/>
    <w:rsid w:val="0A4422E6"/>
    <w:rsid w:val="0A546CFD"/>
    <w:rsid w:val="0A960E3D"/>
    <w:rsid w:val="0B497D12"/>
    <w:rsid w:val="0B4C4632"/>
    <w:rsid w:val="0B6D4F83"/>
    <w:rsid w:val="0BA930FD"/>
    <w:rsid w:val="0BC84FF5"/>
    <w:rsid w:val="0C1C796E"/>
    <w:rsid w:val="0C2D2D0D"/>
    <w:rsid w:val="0C7F5E48"/>
    <w:rsid w:val="0C8E576F"/>
    <w:rsid w:val="0CAE3659"/>
    <w:rsid w:val="0CDA69A0"/>
    <w:rsid w:val="0D06206E"/>
    <w:rsid w:val="0D28572B"/>
    <w:rsid w:val="0D40797F"/>
    <w:rsid w:val="0D7A4A46"/>
    <w:rsid w:val="0DAE2303"/>
    <w:rsid w:val="0DD93147"/>
    <w:rsid w:val="0DF33CF1"/>
    <w:rsid w:val="0DFF7844"/>
    <w:rsid w:val="0E141CA7"/>
    <w:rsid w:val="0E3C75E8"/>
    <w:rsid w:val="0E68383D"/>
    <w:rsid w:val="0F032819"/>
    <w:rsid w:val="0F942CC0"/>
    <w:rsid w:val="0FA66BBA"/>
    <w:rsid w:val="0FAF74CA"/>
    <w:rsid w:val="0FE51872"/>
    <w:rsid w:val="10207C87"/>
    <w:rsid w:val="105D150A"/>
    <w:rsid w:val="10726D08"/>
    <w:rsid w:val="10B576E3"/>
    <w:rsid w:val="116E2B13"/>
    <w:rsid w:val="117F1CC3"/>
    <w:rsid w:val="118A0FD0"/>
    <w:rsid w:val="11E55D6C"/>
    <w:rsid w:val="11EB2EB1"/>
    <w:rsid w:val="12041D21"/>
    <w:rsid w:val="12206319"/>
    <w:rsid w:val="12876C72"/>
    <w:rsid w:val="128E1E81"/>
    <w:rsid w:val="129D2A5B"/>
    <w:rsid w:val="13215EBB"/>
    <w:rsid w:val="1359284E"/>
    <w:rsid w:val="13AB19F6"/>
    <w:rsid w:val="13BE4771"/>
    <w:rsid w:val="13C74EE5"/>
    <w:rsid w:val="13C84D7E"/>
    <w:rsid w:val="13EB5F57"/>
    <w:rsid w:val="13F36C89"/>
    <w:rsid w:val="141241FB"/>
    <w:rsid w:val="144D662C"/>
    <w:rsid w:val="14654D61"/>
    <w:rsid w:val="149E7662"/>
    <w:rsid w:val="14EA7206"/>
    <w:rsid w:val="159C3FEF"/>
    <w:rsid w:val="15B701FA"/>
    <w:rsid w:val="16111742"/>
    <w:rsid w:val="1616756C"/>
    <w:rsid w:val="16193D46"/>
    <w:rsid w:val="168D6206"/>
    <w:rsid w:val="16B110DD"/>
    <w:rsid w:val="16BE0858"/>
    <w:rsid w:val="16D20659"/>
    <w:rsid w:val="170F3BE3"/>
    <w:rsid w:val="17644C72"/>
    <w:rsid w:val="178825AE"/>
    <w:rsid w:val="17FB0FCD"/>
    <w:rsid w:val="17FD7FE9"/>
    <w:rsid w:val="187D4A59"/>
    <w:rsid w:val="18B90942"/>
    <w:rsid w:val="18BA2284"/>
    <w:rsid w:val="18C34F8B"/>
    <w:rsid w:val="191D4CB5"/>
    <w:rsid w:val="19700F08"/>
    <w:rsid w:val="19747198"/>
    <w:rsid w:val="19EA6AAF"/>
    <w:rsid w:val="1AA80CB9"/>
    <w:rsid w:val="1AED28BA"/>
    <w:rsid w:val="1B0D514B"/>
    <w:rsid w:val="1B4A5CB8"/>
    <w:rsid w:val="1BC11A92"/>
    <w:rsid w:val="1BD468A2"/>
    <w:rsid w:val="1CD33EB4"/>
    <w:rsid w:val="1D075197"/>
    <w:rsid w:val="1D3F1E0A"/>
    <w:rsid w:val="1D4D49A3"/>
    <w:rsid w:val="1D617DC0"/>
    <w:rsid w:val="1DA91B49"/>
    <w:rsid w:val="1DC60177"/>
    <w:rsid w:val="1E403142"/>
    <w:rsid w:val="1E6D6FF8"/>
    <w:rsid w:val="1EB50762"/>
    <w:rsid w:val="1ECC2895"/>
    <w:rsid w:val="1F192994"/>
    <w:rsid w:val="1F2B2044"/>
    <w:rsid w:val="1F8D2F48"/>
    <w:rsid w:val="1F8F7D90"/>
    <w:rsid w:val="1FEE4B60"/>
    <w:rsid w:val="2003756B"/>
    <w:rsid w:val="203F1A92"/>
    <w:rsid w:val="207B66B3"/>
    <w:rsid w:val="20C660D5"/>
    <w:rsid w:val="20E379AE"/>
    <w:rsid w:val="20F40FA1"/>
    <w:rsid w:val="216B481E"/>
    <w:rsid w:val="219F5BB6"/>
    <w:rsid w:val="21BA145D"/>
    <w:rsid w:val="21D47DD5"/>
    <w:rsid w:val="22401962"/>
    <w:rsid w:val="225C42C2"/>
    <w:rsid w:val="22671A17"/>
    <w:rsid w:val="22715F0F"/>
    <w:rsid w:val="22DF2A83"/>
    <w:rsid w:val="23171F20"/>
    <w:rsid w:val="235940A9"/>
    <w:rsid w:val="23711B3F"/>
    <w:rsid w:val="239212CB"/>
    <w:rsid w:val="23AD74CB"/>
    <w:rsid w:val="24331668"/>
    <w:rsid w:val="243932FC"/>
    <w:rsid w:val="24437194"/>
    <w:rsid w:val="24462612"/>
    <w:rsid w:val="2473247C"/>
    <w:rsid w:val="24E37F11"/>
    <w:rsid w:val="254E4EBA"/>
    <w:rsid w:val="256065E1"/>
    <w:rsid w:val="25944229"/>
    <w:rsid w:val="25BE30F8"/>
    <w:rsid w:val="25C4339F"/>
    <w:rsid w:val="261D1FBA"/>
    <w:rsid w:val="261D6994"/>
    <w:rsid w:val="26775BC8"/>
    <w:rsid w:val="26AF70B6"/>
    <w:rsid w:val="26BA5A95"/>
    <w:rsid w:val="27051414"/>
    <w:rsid w:val="271F5894"/>
    <w:rsid w:val="28016F46"/>
    <w:rsid w:val="28193E21"/>
    <w:rsid w:val="286036CB"/>
    <w:rsid w:val="28926C90"/>
    <w:rsid w:val="28ED0D31"/>
    <w:rsid w:val="28F039B6"/>
    <w:rsid w:val="296C128F"/>
    <w:rsid w:val="29A96F17"/>
    <w:rsid w:val="29D87A35"/>
    <w:rsid w:val="29E97F2E"/>
    <w:rsid w:val="29EC23D0"/>
    <w:rsid w:val="29F02049"/>
    <w:rsid w:val="2A3B6454"/>
    <w:rsid w:val="2A5F10CB"/>
    <w:rsid w:val="2B9221F5"/>
    <w:rsid w:val="2BA051BE"/>
    <w:rsid w:val="2BA653D7"/>
    <w:rsid w:val="2BA70F21"/>
    <w:rsid w:val="2BA72A52"/>
    <w:rsid w:val="2BAC2056"/>
    <w:rsid w:val="2BE21C61"/>
    <w:rsid w:val="2BF43A6B"/>
    <w:rsid w:val="2C663C89"/>
    <w:rsid w:val="2C680FE8"/>
    <w:rsid w:val="2C764A8E"/>
    <w:rsid w:val="2CB964EF"/>
    <w:rsid w:val="2CE9283B"/>
    <w:rsid w:val="2CF33564"/>
    <w:rsid w:val="2D214A86"/>
    <w:rsid w:val="2D724EA0"/>
    <w:rsid w:val="2D940E06"/>
    <w:rsid w:val="2DB11966"/>
    <w:rsid w:val="2DB12284"/>
    <w:rsid w:val="2DE5725A"/>
    <w:rsid w:val="2E7F53B6"/>
    <w:rsid w:val="2EF16E81"/>
    <w:rsid w:val="2EF53AD4"/>
    <w:rsid w:val="2EF77ED4"/>
    <w:rsid w:val="2F2C7572"/>
    <w:rsid w:val="2F457252"/>
    <w:rsid w:val="2F5305E2"/>
    <w:rsid w:val="2F544EB3"/>
    <w:rsid w:val="2F606D7E"/>
    <w:rsid w:val="2F927575"/>
    <w:rsid w:val="2FBE1D43"/>
    <w:rsid w:val="2FC433B0"/>
    <w:rsid w:val="30674499"/>
    <w:rsid w:val="30DA5FB3"/>
    <w:rsid w:val="30EC2E30"/>
    <w:rsid w:val="310D77FB"/>
    <w:rsid w:val="31381828"/>
    <w:rsid w:val="314D2A6F"/>
    <w:rsid w:val="319D6C72"/>
    <w:rsid w:val="322748ED"/>
    <w:rsid w:val="325B51AB"/>
    <w:rsid w:val="32C5265C"/>
    <w:rsid w:val="32CC7242"/>
    <w:rsid w:val="332A6400"/>
    <w:rsid w:val="3330256F"/>
    <w:rsid w:val="334760AD"/>
    <w:rsid w:val="33B757FC"/>
    <w:rsid w:val="34B26361"/>
    <w:rsid w:val="35160D9C"/>
    <w:rsid w:val="351F7E3B"/>
    <w:rsid w:val="35832060"/>
    <w:rsid w:val="35B31A2A"/>
    <w:rsid w:val="35D26A5B"/>
    <w:rsid w:val="35D3411C"/>
    <w:rsid w:val="360B0081"/>
    <w:rsid w:val="3613621A"/>
    <w:rsid w:val="364C1689"/>
    <w:rsid w:val="367373E0"/>
    <w:rsid w:val="373553B6"/>
    <w:rsid w:val="37BF4F82"/>
    <w:rsid w:val="381E3846"/>
    <w:rsid w:val="38337D59"/>
    <w:rsid w:val="386B203C"/>
    <w:rsid w:val="387D1EBD"/>
    <w:rsid w:val="388B33D1"/>
    <w:rsid w:val="38B431F7"/>
    <w:rsid w:val="38CF15CD"/>
    <w:rsid w:val="39187C04"/>
    <w:rsid w:val="39C42A21"/>
    <w:rsid w:val="3A35120E"/>
    <w:rsid w:val="3A5804C9"/>
    <w:rsid w:val="3A887EF3"/>
    <w:rsid w:val="3A9315A8"/>
    <w:rsid w:val="3AFB7CD2"/>
    <w:rsid w:val="3B253993"/>
    <w:rsid w:val="3D1F708B"/>
    <w:rsid w:val="3D49081C"/>
    <w:rsid w:val="3D54332A"/>
    <w:rsid w:val="3D5742AE"/>
    <w:rsid w:val="3D8B4B09"/>
    <w:rsid w:val="3DA7027A"/>
    <w:rsid w:val="3DC213DF"/>
    <w:rsid w:val="3E2812A3"/>
    <w:rsid w:val="3E322D18"/>
    <w:rsid w:val="3E573D09"/>
    <w:rsid w:val="3E784B90"/>
    <w:rsid w:val="3F03223E"/>
    <w:rsid w:val="3FAC0006"/>
    <w:rsid w:val="40061789"/>
    <w:rsid w:val="40192BB8"/>
    <w:rsid w:val="40800DEA"/>
    <w:rsid w:val="40882E6C"/>
    <w:rsid w:val="40A35A86"/>
    <w:rsid w:val="40E8666D"/>
    <w:rsid w:val="413C5593"/>
    <w:rsid w:val="41446601"/>
    <w:rsid w:val="418212BD"/>
    <w:rsid w:val="42703746"/>
    <w:rsid w:val="42A82FE5"/>
    <w:rsid w:val="42E45EE2"/>
    <w:rsid w:val="43042F4A"/>
    <w:rsid w:val="433E187C"/>
    <w:rsid w:val="43472D70"/>
    <w:rsid w:val="43A97591"/>
    <w:rsid w:val="448A7438"/>
    <w:rsid w:val="449626BA"/>
    <w:rsid w:val="44DE595B"/>
    <w:rsid w:val="45457F69"/>
    <w:rsid w:val="457F5E93"/>
    <w:rsid w:val="45A35AD8"/>
    <w:rsid w:val="45C322AA"/>
    <w:rsid w:val="460C7D23"/>
    <w:rsid w:val="465F36CB"/>
    <w:rsid w:val="46D467C4"/>
    <w:rsid w:val="46DC420F"/>
    <w:rsid w:val="47751158"/>
    <w:rsid w:val="47A45B98"/>
    <w:rsid w:val="47A50E5C"/>
    <w:rsid w:val="47AB51B9"/>
    <w:rsid w:val="47C01017"/>
    <w:rsid w:val="481D1FDE"/>
    <w:rsid w:val="48951F0E"/>
    <w:rsid w:val="48A408B4"/>
    <w:rsid w:val="48BF2EAA"/>
    <w:rsid w:val="48C43E6E"/>
    <w:rsid w:val="48F134D8"/>
    <w:rsid w:val="48FF54CE"/>
    <w:rsid w:val="49316623"/>
    <w:rsid w:val="49594982"/>
    <w:rsid w:val="4974192B"/>
    <w:rsid w:val="499C3073"/>
    <w:rsid w:val="49A94FE8"/>
    <w:rsid w:val="4A451F5C"/>
    <w:rsid w:val="4ACC02FE"/>
    <w:rsid w:val="4ADD0B44"/>
    <w:rsid w:val="4B2E1DFD"/>
    <w:rsid w:val="4C136084"/>
    <w:rsid w:val="4C5639AD"/>
    <w:rsid w:val="4C563DAE"/>
    <w:rsid w:val="4C6360CA"/>
    <w:rsid w:val="4C6F61F2"/>
    <w:rsid w:val="4CAA5AA7"/>
    <w:rsid w:val="4CF002C8"/>
    <w:rsid w:val="4D1B2411"/>
    <w:rsid w:val="4DA25B6E"/>
    <w:rsid w:val="4E3450DC"/>
    <w:rsid w:val="4E545991"/>
    <w:rsid w:val="4E7B0068"/>
    <w:rsid w:val="4E8914D5"/>
    <w:rsid w:val="4EC74E0A"/>
    <w:rsid w:val="4F737FE7"/>
    <w:rsid w:val="4F944EBF"/>
    <w:rsid w:val="4FEB0F2B"/>
    <w:rsid w:val="50096F88"/>
    <w:rsid w:val="504C3DE7"/>
    <w:rsid w:val="505E72D4"/>
    <w:rsid w:val="50CB6B3C"/>
    <w:rsid w:val="5127387D"/>
    <w:rsid w:val="51453FF0"/>
    <w:rsid w:val="515157DD"/>
    <w:rsid w:val="517D6B7D"/>
    <w:rsid w:val="519531C9"/>
    <w:rsid w:val="51C94C0B"/>
    <w:rsid w:val="51D677D1"/>
    <w:rsid w:val="520E6EFC"/>
    <w:rsid w:val="526409A1"/>
    <w:rsid w:val="52DA5A66"/>
    <w:rsid w:val="52DB10B0"/>
    <w:rsid w:val="52ED4D9B"/>
    <w:rsid w:val="52F21F55"/>
    <w:rsid w:val="532C2755"/>
    <w:rsid w:val="5386726D"/>
    <w:rsid w:val="53994DCD"/>
    <w:rsid w:val="53E3402E"/>
    <w:rsid w:val="55147C23"/>
    <w:rsid w:val="552272D2"/>
    <w:rsid w:val="554871F1"/>
    <w:rsid w:val="5560481F"/>
    <w:rsid w:val="55C34F24"/>
    <w:rsid w:val="55CF7E2B"/>
    <w:rsid w:val="55FA0B35"/>
    <w:rsid w:val="56064695"/>
    <w:rsid w:val="56533449"/>
    <w:rsid w:val="567A298E"/>
    <w:rsid w:val="568855ED"/>
    <w:rsid w:val="56A355D3"/>
    <w:rsid w:val="572D6B47"/>
    <w:rsid w:val="57866071"/>
    <w:rsid w:val="579831C5"/>
    <w:rsid w:val="57B317F1"/>
    <w:rsid w:val="57DA7B88"/>
    <w:rsid w:val="57E2333B"/>
    <w:rsid w:val="58415125"/>
    <w:rsid w:val="584340B0"/>
    <w:rsid w:val="58464430"/>
    <w:rsid w:val="58471506"/>
    <w:rsid w:val="584A56F3"/>
    <w:rsid w:val="588F3C8E"/>
    <w:rsid w:val="58900246"/>
    <w:rsid w:val="58A747C6"/>
    <w:rsid w:val="590D65AA"/>
    <w:rsid w:val="59BD32BD"/>
    <w:rsid w:val="59E35308"/>
    <w:rsid w:val="5A160FDB"/>
    <w:rsid w:val="5A2A7C7B"/>
    <w:rsid w:val="5A573BDD"/>
    <w:rsid w:val="5A6516AD"/>
    <w:rsid w:val="5AE02EBE"/>
    <w:rsid w:val="5B1C2265"/>
    <w:rsid w:val="5BA74225"/>
    <w:rsid w:val="5C017881"/>
    <w:rsid w:val="5C624B8E"/>
    <w:rsid w:val="5C6E089F"/>
    <w:rsid w:val="5C6F4394"/>
    <w:rsid w:val="5CA75558"/>
    <w:rsid w:val="5CE27B8D"/>
    <w:rsid w:val="5D0E230A"/>
    <w:rsid w:val="5D4F6B3E"/>
    <w:rsid w:val="5D6A7DBC"/>
    <w:rsid w:val="5DC60DBA"/>
    <w:rsid w:val="5E4A75F1"/>
    <w:rsid w:val="5E4D7446"/>
    <w:rsid w:val="5E566560"/>
    <w:rsid w:val="5E652175"/>
    <w:rsid w:val="5E661035"/>
    <w:rsid w:val="5F3833E6"/>
    <w:rsid w:val="5F6D7533"/>
    <w:rsid w:val="5FA752D7"/>
    <w:rsid w:val="5FF94F03"/>
    <w:rsid w:val="600F2399"/>
    <w:rsid w:val="6012002C"/>
    <w:rsid w:val="602776E2"/>
    <w:rsid w:val="603B6713"/>
    <w:rsid w:val="60746A4B"/>
    <w:rsid w:val="6078076D"/>
    <w:rsid w:val="60807659"/>
    <w:rsid w:val="60937300"/>
    <w:rsid w:val="60CA70B1"/>
    <w:rsid w:val="60F8107F"/>
    <w:rsid w:val="614B102D"/>
    <w:rsid w:val="616F4ACC"/>
    <w:rsid w:val="617F5261"/>
    <w:rsid w:val="61C64CD9"/>
    <w:rsid w:val="620B3062"/>
    <w:rsid w:val="624C6EEF"/>
    <w:rsid w:val="62552BB5"/>
    <w:rsid w:val="625A6C6C"/>
    <w:rsid w:val="62AB4341"/>
    <w:rsid w:val="62D90A3C"/>
    <w:rsid w:val="63617ED8"/>
    <w:rsid w:val="636649C5"/>
    <w:rsid w:val="63C94F54"/>
    <w:rsid w:val="642E2B0E"/>
    <w:rsid w:val="64405216"/>
    <w:rsid w:val="649C5F21"/>
    <w:rsid w:val="64DB7ACC"/>
    <w:rsid w:val="64F43D9F"/>
    <w:rsid w:val="653F572A"/>
    <w:rsid w:val="65603C1B"/>
    <w:rsid w:val="65646CE3"/>
    <w:rsid w:val="65670581"/>
    <w:rsid w:val="65A550CF"/>
    <w:rsid w:val="65CE6293"/>
    <w:rsid w:val="65F31549"/>
    <w:rsid w:val="66283BD0"/>
    <w:rsid w:val="66362AE3"/>
    <w:rsid w:val="66447C9D"/>
    <w:rsid w:val="66770CAA"/>
    <w:rsid w:val="678E0B23"/>
    <w:rsid w:val="67A91325"/>
    <w:rsid w:val="680A598F"/>
    <w:rsid w:val="681E2B15"/>
    <w:rsid w:val="683E5856"/>
    <w:rsid w:val="68464DC5"/>
    <w:rsid w:val="68F9073C"/>
    <w:rsid w:val="68FA4F96"/>
    <w:rsid w:val="690602C4"/>
    <w:rsid w:val="69526941"/>
    <w:rsid w:val="69652166"/>
    <w:rsid w:val="696E222B"/>
    <w:rsid w:val="698B02B8"/>
    <w:rsid w:val="69DB75EA"/>
    <w:rsid w:val="6A871732"/>
    <w:rsid w:val="6A892D47"/>
    <w:rsid w:val="6AE24FE6"/>
    <w:rsid w:val="6AF6662F"/>
    <w:rsid w:val="6B902CAD"/>
    <w:rsid w:val="6BAB3093"/>
    <w:rsid w:val="6BF42A96"/>
    <w:rsid w:val="6C831372"/>
    <w:rsid w:val="6CF43042"/>
    <w:rsid w:val="6D6655C2"/>
    <w:rsid w:val="6D785A21"/>
    <w:rsid w:val="6E8A2020"/>
    <w:rsid w:val="6EA65658"/>
    <w:rsid w:val="6EB25F85"/>
    <w:rsid w:val="6EBB0EBA"/>
    <w:rsid w:val="6EEA2761"/>
    <w:rsid w:val="6EED7D49"/>
    <w:rsid w:val="6F464A26"/>
    <w:rsid w:val="6F520671"/>
    <w:rsid w:val="6FC4011D"/>
    <w:rsid w:val="6FCC1C88"/>
    <w:rsid w:val="6FD92F46"/>
    <w:rsid w:val="7031480A"/>
    <w:rsid w:val="70563546"/>
    <w:rsid w:val="706011EA"/>
    <w:rsid w:val="70B7426A"/>
    <w:rsid w:val="70DC1E23"/>
    <w:rsid w:val="71386CCF"/>
    <w:rsid w:val="71687C37"/>
    <w:rsid w:val="71A3637F"/>
    <w:rsid w:val="71FF07E3"/>
    <w:rsid w:val="724B3434"/>
    <w:rsid w:val="72556331"/>
    <w:rsid w:val="7295118A"/>
    <w:rsid w:val="72AE3C93"/>
    <w:rsid w:val="731D5BEB"/>
    <w:rsid w:val="732C4B81"/>
    <w:rsid w:val="73524DC0"/>
    <w:rsid w:val="737B3488"/>
    <w:rsid w:val="73B50543"/>
    <w:rsid w:val="74005DEF"/>
    <w:rsid w:val="74005E6C"/>
    <w:rsid w:val="74155579"/>
    <w:rsid w:val="74BB2626"/>
    <w:rsid w:val="74E10D4F"/>
    <w:rsid w:val="750710F3"/>
    <w:rsid w:val="75327854"/>
    <w:rsid w:val="75581C92"/>
    <w:rsid w:val="75C622C6"/>
    <w:rsid w:val="75D90A3A"/>
    <w:rsid w:val="771F0CBB"/>
    <w:rsid w:val="777032C5"/>
    <w:rsid w:val="778E5E41"/>
    <w:rsid w:val="77DB72D8"/>
    <w:rsid w:val="77E67D42"/>
    <w:rsid w:val="788C40F1"/>
    <w:rsid w:val="78F9265F"/>
    <w:rsid w:val="7900183A"/>
    <w:rsid w:val="791F6B45"/>
    <w:rsid w:val="797B0975"/>
    <w:rsid w:val="79B069A0"/>
    <w:rsid w:val="79B55907"/>
    <w:rsid w:val="79C31852"/>
    <w:rsid w:val="79D4536F"/>
    <w:rsid w:val="7A256073"/>
    <w:rsid w:val="7A762878"/>
    <w:rsid w:val="7AAA098A"/>
    <w:rsid w:val="7B242713"/>
    <w:rsid w:val="7B2849C9"/>
    <w:rsid w:val="7BA71AF0"/>
    <w:rsid w:val="7C817D22"/>
    <w:rsid w:val="7CE12101"/>
    <w:rsid w:val="7D147F85"/>
    <w:rsid w:val="7D2863F0"/>
    <w:rsid w:val="7D40500C"/>
    <w:rsid w:val="7E40320E"/>
    <w:rsid w:val="7EEC02DF"/>
    <w:rsid w:val="7F1B15B4"/>
    <w:rsid w:val="7F71407E"/>
    <w:rsid w:val="7F7678E7"/>
    <w:rsid w:val="7F871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spacing w:before="340" w:after="330" w:line="578" w:lineRule="auto"/>
      <w:jc w:val="center"/>
      <w:outlineLvl w:val="0"/>
    </w:pPr>
    <w:rPr>
      <w:rFonts w:ascii="Times New Roman" w:hAnsi="Times New Roman"/>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rPr>
      <w:rFonts w:ascii="Times New Roman" w:hAnsi="Times New Roman"/>
      <w:kern w:val="0"/>
      <w:sz w:val="20"/>
      <w:szCs w:val="24"/>
    </w:rPr>
  </w:style>
  <w:style w:type="paragraph" w:styleId="3">
    <w:name w:val="Body Text Indent"/>
    <w:basedOn w:val="1"/>
    <w:unhideWhenUsed/>
    <w:qFormat/>
    <w:uiPriority w:val="99"/>
    <w:pPr>
      <w:spacing w:after="120"/>
      <w:ind w:left="420" w:leftChars="200"/>
    </w:pPr>
  </w:style>
  <w:style w:type="paragraph" w:styleId="6">
    <w:name w:val="List 3"/>
    <w:basedOn w:val="1"/>
    <w:qFormat/>
    <w:uiPriority w:val="0"/>
    <w:pPr>
      <w:ind w:left="100" w:leftChars="400" w:hanging="200" w:hangingChars="200"/>
    </w:pPr>
    <w:rPr>
      <w:rFonts w:ascii="Times New Roman" w:hAnsi="Times New Roman"/>
      <w:szCs w:val="24"/>
    </w:rPr>
  </w:style>
  <w:style w:type="paragraph" w:styleId="7">
    <w:name w:val="index 8"/>
    <w:basedOn w:val="1"/>
    <w:next w:val="1"/>
    <w:semiHidden/>
    <w:qFormat/>
    <w:uiPriority w:val="0"/>
    <w:pPr>
      <w:ind w:left="1680" w:hanging="210"/>
      <w:jc w:val="left"/>
    </w:pPr>
    <w:rPr>
      <w:rFonts w:ascii="Times New Roman" w:hAnsi="Times New Roman"/>
      <w:sz w:val="20"/>
      <w:szCs w:val="20"/>
    </w:rPr>
  </w:style>
  <w:style w:type="paragraph" w:styleId="8">
    <w:name w:val="Normal Indent"/>
    <w:basedOn w:val="1"/>
    <w:qFormat/>
    <w:uiPriority w:val="0"/>
    <w:pPr>
      <w:ind w:firstLine="420"/>
    </w:pPr>
  </w:style>
  <w:style w:type="paragraph" w:styleId="9">
    <w:name w:val="annotation text"/>
    <w:basedOn w:val="1"/>
    <w:qFormat/>
    <w:uiPriority w:val="0"/>
    <w:pPr>
      <w:jc w:val="left"/>
    </w:pPr>
    <w:rPr>
      <w:rFonts w:ascii="Times New Roman" w:hAnsi="Times New Roman"/>
      <w:kern w:val="0"/>
      <w:sz w:val="20"/>
      <w:szCs w:val="20"/>
    </w:rPr>
  </w:style>
  <w:style w:type="paragraph" w:styleId="10">
    <w:name w:val="Body Text"/>
    <w:basedOn w:val="1"/>
    <w:next w:val="11"/>
    <w:qFormat/>
    <w:uiPriority w:val="1"/>
    <w:pPr>
      <w:ind w:left="779" w:firstLine="641"/>
      <w:jc w:val="left"/>
    </w:pPr>
    <w:rPr>
      <w:rFonts w:ascii="宋体" w:hAnsi="宋体"/>
      <w:kern w:val="0"/>
      <w:sz w:val="32"/>
      <w:szCs w:val="32"/>
      <w:lang w:eastAsia="en-US"/>
    </w:rPr>
  </w:style>
  <w:style w:type="paragraph" w:styleId="11">
    <w:name w:val="Body Text 2"/>
    <w:basedOn w:val="1"/>
    <w:qFormat/>
    <w:uiPriority w:val="0"/>
    <w:pPr>
      <w:spacing w:line="360" w:lineRule="auto"/>
    </w:pPr>
    <w:rPr>
      <w:sz w:val="24"/>
    </w:rPr>
  </w:style>
  <w:style w:type="paragraph" w:styleId="12">
    <w:name w:val="Plain Text"/>
    <w:basedOn w:val="1"/>
    <w:next w:val="7"/>
    <w:unhideWhenUsed/>
    <w:qFormat/>
    <w:uiPriority w:val="0"/>
    <w:rPr>
      <w:rFonts w:ascii="宋体" w:hAnsi="Courier New" w:eastAsiaTheme="minorEastAsia" w:cstheme="minorBidi"/>
      <w:szCs w:val="21"/>
    </w:rPr>
  </w:style>
  <w:style w:type="paragraph" w:styleId="13">
    <w:name w:val="Balloon Text"/>
    <w:basedOn w:val="1"/>
    <w:link w:val="32"/>
    <w:qFormat/>
    <w:uiPriority w:val="0"/>
    <w:rPr>
      <w:sz w:val="18"/>
      <w:szCs w:val="18"/>
    </w:rPr>
  </w:style>
  <w:style w:type="paragraph" w:styleId="14">
    <w:name w:val="footer"/>
    <w:basedOn w:val="1"/>
    <w:unhideWhenUsed/>
    <w:qFormat/>
    <w:uiPriority w:val="99"/>
    <w:pPr>
      <w:tabs>
        <w:tab w:val="center" w:pos="4153"/>
        <w:tab w:val="right" w:pos="8306"/>
      </w:tabs>
      <w:snapToGrid w:val="0"/>
      <w:jc w:val="left"/>
    </w:pPr>
    <w:rPr>
      <w:sz w:val="18"/>
      <w:szCs w:val="18"/>
    </w:rPr>
  </w:style>
  <w:style w:type="paragraph" w:styleId="15">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unhideWhenUsed/>
    <w:qFormat/>
    <w:uiPriority w:val="99"/>
    <w:pPr>
      <w:jc w:val="left"/>
    </w:pPr>
    <w:rPr>
      <w:rFonts w:ascii="Times New Roman" w:hAnsi="Times New Roman"/>
      <w:kern w:val="0"/>
      <w:sz w:val="24"/>
      <w:szCs w:val="20"/>
    </w:rPr>
  </w:style>
  <w:style w:type="table" w:styleId="18">
    <w:name w:val="Table Grid"/>
    <w:basedOn w:val="1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Strong"/>
    <w:basedOn w:val="19"/>
    <w:qFormat/>
    <w:uiPriority w:val="0"/>
    <w:rPr>
      <w:b/>
    </w:rPr>
  </w:style>
  <w:style w:type="character" w:styleId="21">
    <w:name w:val="FollowedHyperlink"/>
    <w:basedOn w:val="19"/>
    <w:qFormat/>
    <w:uiPriority w:val="0"/>
    <w:rPr>
      <w:color w:val="4A4A4A"/>
      <w:u w:val="none"/>
    </w:rPr>
  </w:style>
  <w:style w:type="character" w:styleId="22">
    <w:name w:val="Emphasis"/>
    <w:basedOn w:val="19"/>
    <w:qFormat/>
    <w:uiPriority w:val="0"/>
  </w:style>
  <w:style w:type="character" w:styleId="23">
    <w:name w:val="HTML Definition"/>
    <w:basedOn w:val="19"/>
    <w:qFormat/>
    <w:uiPriority w:val="0"/>
  </w:style>
  <w:style w:type="character" w:styleId="24">
    <w:name w:val="HTML Acronym"/>
    <w:basedOn w:val="19"/>
    <w:qFormat/>
    <w:uiPriority w:val="0"/>
  </w:style>
  <w:style w:type="character" w:styleId="25">
    <w:name w:val="HTML Variable"/>
    <w:basedOn w:val="19"/>
    <w:qFormat/>
    <w:uiPriority w:val="0"/>
  </w:style>
  <w:style w:type="character" w:styleId="26">
    <w:name w:val="Hyperlink"/>
    <w:basedOn w:val="19"/>
    <w:qFormat/>
    <w:uiPriority w:val="0"/>
    <w:rPr>
      <w:color w:val="4A4A4A"/>
      <w:u w:val="none"/>
    </w:rPr>
  </w:style>
  <w:style w:type="character" w:styleId="27">
    <w:name w:val="HTML Code"/>
    <w:basedOn w:val="19"/>
    <w:qFormat/>
    <w:uiPriority w:val="0"/>
    <w:rPr>
      <w:rFonts w:ascii="Courier New" w:hAnsi="Courier New"/>
      <w:sz w:val="20"/>
    </w:rPr>
  </w:style>
  <w:style w:type="character" w:styleId="28">
    <w:name w:val="HTML Cite"/>
    <w:basedOn w:val="19"/>
    <w:qFormat/>
    <w:uiPriority w:val="0"/>
  </w:style>
  <w:style w:type="paragraph" w:customStyle="1" w:styleId="29">
    <w:name w:val="Normal_5"/>
    <w:qFormat/>
    <w:uiPriority w:val="0"/>
    <w:pPr>
      <w:widowControl w:val="0"/>
      <w:jc w:val="both"/>
    </w:pPr>
    <w:rPr>
      <w:rFonts w:ascii="Calibri" w:hAnsi="Calibri" w:eastAsia="宋体" w:cs="Calibri"/>
      <w:lang w:val="en-US" w:eastAsia="zh-CN" w:bidi="ar-SA"/>
    </w:rPr>
  </w:style>
  <w:style w:type="paragraph" w:customStyle="1" w:styleId="30">
    <w:name w:val="Plain Text_0"/>
    <w:basedOn w:val="29"/>
    <w:unhideWhenUsed/>
    <w:qFormat/>
    <w:uiPriority w:val="0"/>
    <w:rPr>
      <w:rFonts w:ascii="宋体" w:hAnsi="Courier New" w:eastAsiaTheme="minorEastAsia" w:cstheme="minorBidi"/>
      <w:szCs w:val="21"/>
    </w:rPr>
  </w:style>
  <w:style w:type="character" w:customStyle="1" w:styleId="31">
    <w:name w:val="页眉 字符"/>
    <w:basedOn w:val="19"/>
    <w:link w:val="15"/>
    <w:qFormat/>
    <w:uiPriority w:val="0"/>
    <w:rPr>
      <w:rFonts w:ascii="Calibri" w:hAnsi="Calibri"/>
      <w:kern w:val="2"/>
      <w:sz w:val="18"/>
      <w:szCs w:val="18"/>
    </w:rPr>
  </w:style>
  <w:style w:type="character" w:customStyle="1" w:styleId="32">
    <w:name w:val="批注框文本 字符"/>
    <w:basedOn w:val="19"/>
    <w:link w:val="13"/>
    <w:qFormat/>
    <w:uiPriority w:val="0"/>
    <w:rPr>
      <w:rFonts w:ascii="Calibri" w:hAnsi="Calibri"/>
      <w:kern w:val="2"/>
      <w:sz w:val="18"/>
      <w:szCs w:val="18"/>
    </w:rPr>
  </w:style>
  <w:style w:type="paragraph" w:customStyle="1" w:styleId="33">
    <w:name w:val="Normal_0"/>
    <w:basedOn w:val="1"/>
    <w:next w:val="1"/>
    <w:qFormat/>
    <w:uiPriority w:val="0"/>
    <w:pPr>
      <w:jc w:val="left"/>
    </w:pPr>
    <w:rPr>
      <w:kern w:val="0"/>
      <w:szCs w:val="21"/>
    </w:rPr>
  </w:style>
  <w:style w:type="paragraph" w:customStyle="1" w:styleId="34">
    <w:name w:val="正文_2"/>
    <w:basedOn w:val="1"/>
    <w:qFormat/>
    <w:uiPriority w:val="0"/>
    <w:pPr>
      <w:widowControl/>
      <w:jc w:val="left"/>
    </w:pPr>
    <w:rPr>
      <w:rFonts w:ascii="宋体" w:hAnsi="宋体" w:cs="宋体"/>
      <w:kern w:val="0"/>
      <w:sz w:val="24"/>
      <w:szCs w:val="24"/>
    </w:rPr>
  </w:style>
  <w:style w:type="paragraph" w:styleId="35">
    <w:name w:val="No Spacing"/>
    <w:basedOn w:val="1"/>
    <w:qFormat/>
    <w:uiPriority w:val="1"/>
    <w:pPr>
      <w:widowControl/>
      <w:ind w:left="250"/>
      <w:jc w:val="left"/>
    </w:pPr>
    <w:rPr>
      <w:rFonts w:eastAsiaTheme="minorEastAsia" w:cstheme="minorBidi"/>
      <w:sz w:val="24"/>
      <w:szCs w:val="32"/>
      <w:lang w:bidi="en-US"/>
    </w:rPr>
  </w:style>
  <w:style w:type="character" w:customStyle="1" w:styleId="36">
    <w:name w:val="HTML Markup"/>
    <w:qFormat/>
    <w:uiPriority w:val="0"/>
    <w:rPr>
      <w:vanish/>
      <w:color w:val="FF0000"/>
    </w:rPr>
  </w:style>
  <w:style w:type="paragraph" w:customStyle="1" w:styleId="37">
    <w:name w:val="style93_0"/>
    <w:basedOn w:val="38"/>
    <w:qFormat/>
    <w:uiPriority w:val="0"/>
    <w:pPr>
      <w:widowControl/>
      <w:spacing w:before="100" w:beforeAutospacing="1" w:after="100" w:afterAutospacing="1"/>
      <w:jc w:val="left"/>
    </w:pPr>
    <w:rPr>
      <w:rFonts w:ascii="宋体" w:hAnsi="宋体" w:cs="宋体"/>
      <w:sz w:val="24"/>
      <w:szCs w:val="24"/>
    </w:rPr>
  </w:style>
  <w:style w:type="paragraph" w:customStyle="1" w:styleId="38">
    <w:name w:val="Normal_2"/>
    <w:qFormat/>
    <w:uiPriority w:val="0"/>
    <w:pPr>
      <w:widowControl w:val="0"/>
      <w:jc w:val="both"/>
    </w:pPr>
    <w:rPr>
      <w:rFonts w:ascii="Calibri" w:hAnsi="Calibri" w:eastAsia="宋体" w:cs="Times New Roman"/>
      <w:lang w:val="en-US" w:eastAsia="zh-CN" w:bidi="ar-SA"/>
    </w:rPr>
  </w:style>
  <w:style w:type="paragraph" w:customStyle="1" w:styleId="39">
    <w:name w:val="Normal_3_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0">
    <w:name w:val="hover26"/>
    <w:basedOn w:val="19"/>
    <w:qFormat/>
    <w:uiPriority w:val="0"/>
    <w:rPr>
      <w:color w:val="446CB4"/>
      <w:u w:val="none"/>
      <w:bdr w:val="single" w:color="446CB4" w:sz="4" w:space="0"/>
    </w:rPr>
  </w:style>
  <w:style w:type="character" w:customStyle="1" w:styleId="41">
    <w:name w:val="hover27"/>
    <w:basedOn w:val="19"/>
    <w:qFormat/>
    <w:uiPriority w:val="0"/>
    <w:rPr>
      <w:color w:val="337AB7"/>
    </w:rPr>
  </w:style>
  <w:style w:type="character" w:customStyle="1" w:styleId="42">
    <w:name w:val="first-child"/>
    <w:basedOn w:val="19"/>
    <w:qFormat/>
    <w:uiPriority w:val="0"/>
  </w:style>
  <w:style w:type="character" w:customStyle="1" w:styleId="43">
    <w:name w:val="layui-this"/>
    <w:basedOn w:val="19"/>
    <w:qFormat/>
    <w:uiPriority w:val="0"/>
    <w:rPr>
      <w:bdr w:val="single" w:color="EEEEEE" w:sz="4" w:space="0"/>
      <w:shd w:val="clear" w:color="auto" w:fill="FFFFFF"/>
    </w:rPr>
  </w:style>
  <w:style w:type="paragraph" w:customStyle="1" w:styleId="44">
    <w:name w:val="修订1"/>
    <w:hidden/>
    <w:unhideWhenUsed/>
    <w:qFormat/>
    <w:uiPriority w:val="99"/>
    <w:rPr>
      <w:rFonts w:ascii="Calibri" w:hAnsi="Calibri" w:eastAsia="宋体" w:cs="Times New Roman"/>
      <w:kern w:val="2"/>
      <w:sz w:val="21"/>
      <w:szCs w:val="22"/>
      <w:lang w:val="en-US" w:eastAsia="zh-CN" w:bidi="ar-SA"/>
    </w:rPr>
  </w:style>
  <w:style w:type="paragraph" w:customStyle="1" w:styleId="45">
    <w:name w:val="正文 New New"/>
    <w:next w:val="4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标题 1 New New"/>
    <w:basedOn w:val="45"/>
    <w:next w:val="45"/>
    <w:qFormat/>
    <w:uiPriority w:val="0"/>
    <w:pPr>
      <w:keepNext/>
      <w:keepLines/>
      <w:numPr>
        <w:ilvl w:val="0"/>
        <w:numId w:val="1"/>
      </w:numPr>
      <w:spacing w:before="340" w:after="330" w:line="576" w:lineRule="auto"/>
      <w:jc w:val="center"/>
      <w:outlineLvl w:val="0"/>
    </w:pPr>
    <w:rPr>
      <w:b/>
      <w:kern w:val="44"/>
      <w:sz w:val="36"/>
      <w:szCs w:val="20"/>
    </w:rPr>
  </w:style>
  <w:style w:type="paragraph" w:customStyle="1" w:styleId="47">
    <w:name w:val="Table Paragraph"/>
    <w:basedOn w:val="1"/>
    <w:qFormat/>
    <w:uiPriority w:val="1"/>
    <w:pPr>
      <w:jc w:val="left"/>
    </w:pPr>
    <w:rPr>
      <w:kern w:val="0"/>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9A2010-415B-48AB-8679-5E0AE5FB42EE}">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1258</Words>
  <Characters>1350</Characters>
  <Lines>10</Lines>
  <Paragraphs>2</Paragraphs>
  <TotalTime>40</TotalTime>
  <ScaleCrop>false</ScaleCrop>
  <LinksUpToDate>false</LinksUpToDate>
  <CharactersWithSpaces>1350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2025-06-06T08:52:00Z</dcterms:created>
  <dc:creator>YQY</dc:creator>
  <cp:lastModifiedBy>wayne wang</cp:lastModifiedBy>
  <cp:lastPrinted>2025-04-23T07:05:00Z</cp:lastPrinted>
  <dcterms:modified xsi:type="dcterms:W3CDTF">2025-11-06T14:17:30Z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15A75E9AC3FB4586903ED2ACB8C4BEC7</vt:lpwstr>
  </property>
  <property fmtid="{D5CDD505-2E9C-101B-9397-08002B2CF9AE}" pid="4" name="KSOTemplateDocerSaveRecord">
    <vt:lpwstr>eyJoZGlkIjoiMmQ3YWU2YjUwZjFlMjNmYzhkNmM2YTlmMzM1Y2ZkNWIiLCJ1c2VySWQiOiI0NTY4NzU1NDcifQ==</vt:lpwstr>
  </property>
</Properties>
</file>