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4E1364">
      <w:pPr>
        <w:spacing w:line="380" w:lineRule="exact"/>
        <w:ind w:right="630"/>
        <w:rPr>
          <w:rFonts w:ascii="仿宋" w:hAnsi="仿宋" w:eastAsia="仿宋"/>
          <w:bCs/>
          <w:sz w:val="24"/>
        </w:rPr>
      </w:pPr>
      <w:r>
        <w:rPr>
          <w:rFonts w:hint="eastAsia" w:ascii="仿宋" w:hAnsi="仿宋" w:eastAsia="仿宋"/>
          <w:bCs/>
          <w:sz w:val="24"/>
        </w:rPr>
        <w:t>合同编号：</w:t>
      </w:r>
    </w:p>
    <w:p w14:paraId="444E1365">
      <w:pPr>
        <w:spacing w:line="380" w:lineRule="exact"/>
        <w:jc w:val="center"/>
        <w:rPr>
          <w:rFonts w:ascii="仿宋" w:hAnsi="仿宋" w:eastAsia="仿宋"/>
          <w:bCs/>
          <w:sz w:val="24"/>
        </w:rPr>
      </w:pPr>
    </w:p>
    <w:p w14:paraId="444E1366">
      <w:pPr>
        <w:spacing w:line="520" w:lineRule="exact"/>
        <w:jc w:val="center"/>
        <w:rPr>
          <w:rFonts w:ascii="仿宋" w:hAnsi="仿宋" w:eastAsia="仿宋"/>
          <w:b/>
          <w:bCs/>
          <w:sz w:val="36"/>
          <w:szCs w:val="36"/>
        </w:rPr>
      </w:pPr>
      <w:r>
        <w:rPr>
          <w:rFonts w:hint="eastAsia" w:ascii="仿宋" w:hAnsi="仿宋" w:eastAsia="仿宋"/>
          <w:b/>
          <w:bCs/>
          <w:sz w:val="36"/>
          <w:szCs w:val="36"/>
        </w:rPr>
        <w:t>深圳时尚小镇美憬阁精选酒店</w:t>
      </w:r>
    </w:p>
    <w:p w14:paraId="444E1367">
      <w:pPr>
        <w:spacing w:line="520" w:lineRule="exact"/>
        <w:jc w:val="center"/>
        <w:rPr>
          <w:rFonts w:ascii="仿宋" w:hAnsi="仿宋" w:eastAsia="仿宋"/>
          <w:b/>
          <w:bCs/>
          <w:sz w:val="36"/>
          <w:szCs w:val="36"/>
        </w:rPr>
      </w:pPr>
      <w:r>
        <w:rPr>
          <w:rFonts w:hint="eastAsia" w:ascii="仿宋" w:hAnsi="仿宋" w:eastAsia="仿宋"/>
          <w:b/>
          <w:bCs/>
          <w:sz w:val="36"/>
          <w:szCs w:val="36"/>
        </w:rPr>
        <w:t>有害生物防治服务合同</w:t>
      </w:r>
    </w:p>
    <w:p w14:paraId="444E1368">
      <w:pPr>
        <w:spacing w:line="520" w:lineRule="exact"/>
        <w:jc w:val="center"/>
        <w:rPr>
          <w:rFonts w:ascii="仿宋" w:hAnsi="仿宋" w:eastAsia="仿宋"/>
          <w:b/>
          <w:bCs/>
          <w:sz w:val="36"/>
          <w:szCs w:val="36"/>
        </w:rPr>
      </w:pPr>
      <w:r>
        <w:rPr>
          <w:rFonts w:ascii="仿宋" w:hAnsi="仿宋" w:eastAsia="仿宋"/>
          <w:b/>
          <w:bCs/>
          <w:sz w:val="36"/>
          <w:szCs w:val="36"/>
        </w:rPr>
        <w:t>Pest control service contract</w:t>
      </w:r>
    </w:p>
    <w:p w14:paraId="444E1369">
      <w:pPr>
        <w:spacing w:line="380" w:lineRule="exact"/>
        <w:rPr>
          <w:rFonts w:ascii="仿宋" w:hAnsi="仿宋" w:eastAsia="仿宋"/>
          <w:sz w:val="24"/>
        </w:rPr>
      </w:pPr>
    </w:p>
    <w:p w14:paraId="444E136A">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0" w:lineRule="exact"/>
        <w:rPr>
          <w:rFonts w:ascii="仿宋" w:hAnsi="仿宋" w:eastAsia="仿宋"/>
          <w:sz w:val="24"/>
        </w:rPr>
      </w:pPr>
    </w:p>
    <w:p w14:paraId="444E136B">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0" w:lineRule="exact"/>
        <w:rPr>
          <w:rFonts w:ascii="仿宋" w:hAnsi="仿宋" w:eastAsia="仿宋"/>
          <w:sz w:val="24"/>
        </w:rPr>
      </w:pPr>
    </w:p>
    <w:p w14:paraId="444E136C">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0" w:lineRule="exact"/>
        <w:rPr>
          <w:rFonts w:ascii="仿宋" w:hAnsi="仿宋" w:eastAsia="仿宋"/>
          <w:sz w:val="24"/>
        </w:rPr>
      </w:pPr>
    </w:p>
    <w:p w14:paraId="444E136D">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0" w:lineRule="exact"/>
        <w:rPr>
          <w:rFonts w:ascii="仿宋" w:hAnsi="仿宋" w:eastAsia="仿宋"/>
          <w:sz w:val="24"/>
        </w:rPr>
      </w:pPr>
      <w:r>
        <w:rPr>
          <w:rFonts w:hint="eastAsia" w:ascii="仿宋" w:hAnsi="仿宋" w:eastAsia="仿宋"/>
          <w:sz w:val="24"/>
        </w:rPr>
        <w:t>甲</w:t>
      </w:r>
      <w:r>
        <w:rPr>
          <w:rFonts w:ascii="仿宋" w:hAnsi="仿宋" w:eastAsia="仿宋"/>
          <w:sz w:val="24"/>
        </w:rPr>
        <w:t xml:space="preserve">    </w:t>
      </w:r>
      <w:r>
        <w:rPr>
          <w:rFonts w:hint="eastAsia" w:ascii="仿宋" w:hAnsi="仿宋" w:eastAsia="仿宋"/>
          <w:sz w:val="24"/>
        </w:rPr>
        <w:t>方（酒店方）：深圳市龙祺商业运营管理有限公司美憬阁酒店分公司</w:t>
      </w:r>
    </w:p>
    <w:p w14:paraId="444E136E">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0" w:lineRule="exact"/>
        <w:rPr>
          <w:rFonts w:ascii="仿宋" w:hAnsi="仿宋" w:eastAsia="仿宋"/>
          <w:sz w:val="24"/>
        </w:rPr>
      </w:pPr>
      <w:r>
        <w:rPr>
          <w:rFonts w:hint="eastAsia" w:ascii="仿宋" w:hAnsi="仿宋" w:eastAsia="仿宋"/>
          <w:sz w:val="24"/>
        </w:rPr>
        <w:t>地</w:t>
      </w:r>
      <w:r>
        <w:rPr>
          <w:rFonts w:ascii="仿宋" w:hAnsi="仿宋" w:eastAsia="仿宋"/>
          <w:sz w:val="24"/>
        </w:rPr>
        <w:t xml:space="preserve">    </w:t>
      </w:r>
      <w:r>
        <w:rPr>
          <w:rFonts w:hint="eastAsia" w:ascii="仿宋" w:hAnsi="仿宋" w:eastAsia="仿宋"/>
          <w:sz w:val="24"/>
        </w:rPr>
        <w:t>址：深圳市龙华区大浪街道新石社区浪韵路</w:t>
      </w:r>
      <w:r>
        <w:rPr>
          <w:rFonts w:ascii="仿宋" w:hAnsi="仿宋" w:eastAsia="仿宋"/>
          <w:sz w:val="24"/>
        </w:rPr>
        <w:t>8</w:t>
      </w:r>
      <w:r>
        <w:rPr>
          <w:rFonts w:hint="eastAsia" w:ascii="仿宋" w:hAnsi="仿宋" w:eastAsia="仿宋"/>
          <w:sz w:val="24"/>
        </w:rPr>
        <w:t>号</w:t>
      </w:r>
    </w:p>
    <w:p w14:paraId="444E136F">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0" w:lineRule="exact"/>
        <w:rPr>
          <w:rFonts w:ascii="仿宋" w:hAnsi="仿宋" w:eastAsia="仿宋"/>
          <w:sz w:val="24"/>
        </w:rPr>
      </w:pPr>
      <w:r>
        <w:rPr>
          <w:rFonts w:hint="eastAsia" w:ascii="仿宋" w:hAnsi="仿宋" w:eastAsia="仿宋"/>
          <w:sz w:val="24"/>
        </w:rPr>
        <w:t>联</w:t>
      </w:r>
      <w:r>
        <w:rPr>
          <w:rFonts w:ascii="仿宋" w:hAnsi="仿宋" w:eastAsia="仿宋"/>
          <w:sz w:val="24"/>
        </w:rPr>
        <w:t xml:space="preserve"> </w:t>
      </w:r>
      <w:r>
        <w:rPr>
          <w:rFonts w:hint="eastAsia" w:ascii="仿宋" w:hAnsi="仿宋" w:eastAsia="仿宋"/>
          <w:sz w:val="24"/>
        </w:rPr>
        <w:t>系</w:t>
      </w:r>
      <w:r>
        <w:rPr>
          <w:rFonts w:ascii="仿宋" w:hAnsi="仿宋" w:eastAsia="仿宋"/>
          <w:sz w:val="24"/>
        </w:rPr>
        <w:t xml:space="preserve"> </w:t>
      </w:r>
      <w:r>
        <w:rPr>
          <w:rFonts w:hint="eastAsia" w:ascii="仿宋" w:hAnsi="仿宋" w:eastAsia="仿宋"/>
          <w:sz w:val="24"/>
        </w:rPr>
        <w:t>人：</w:t>
      </w:r>
    </w:p>
    <w:p w14:paraId="444E1370">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0" w:lineRule="exact"/>
        <w:rPr>
          <w:rFonts w:ascii="仿宋" w:hAnsi="仿宋" w:eastAsia="仿宋"/>
          <w:sz w:val="24"/>
        </w:rPr>
      </w:pPr>
      <w:r>
        <w:rPr>
          <w:rFonts w:hint="eastAsia" w:ascii="仿宋" w:hAnsi="仿宋" w:eastAsia="仿宋"/>
          <w:sz w:val="24"/>
        </w:rPr>
        <w:t>联系电话：</w:t>
      </w:r>
    </w:p>
    <w:p w14:paraId="444E1371">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0" w:lineRule="exact"/>
        <w:rPr>
          <w:rFonts w:ascii="仿宋" w:hAnsi="仿宋" w:eastAsia="仿宋"/>
          <w:sz w:val="24"/>
        </w:rPr>
      </w:pPr>
    </w:p>
    <w:p w14:paraId="444E1372">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0" w:lineRule="exact"/>
        <w:rPr>
          <w:rFonts w:ascii="仿宋" w:hAnsi="仿宋" w:eastAsia="仿宋"/>
          <w:sz w:val="24"/>
        </w:rPr>
      </w:pPr>
      <w:r>
        <w:rPr>
          <w:rFonts w:hint="eastAsia" w:ascii="仿宋" w:hAnsi="仿宋" w:eastAsia="仿宋"/>
          <w:sz w:val="24"/>
        </w:rPr>
        <w:t>乙</w:t>
      </w:r>
      <w:r>
        <w:rPr>
          <w:rFonts w:ascii="仿宋" w:hAnsi="仿宋" w:eastAsia="仿宋"/>
          <w:sz w:val="24"/>
        </w:rPr>
        <w:t xml:space="preserve">    </w:t>
      </w:r>
      <w:r>
        <w:rPr>
          <w:rFonts w:hint="eastAsia" w:ascii="仿宋" w:hAnsi="仿宋" w:eastAsia="仿宋"/>
          <w:sz w:val="24"/>
        </w:rPr>
        <w:t>方（服务商）：</w:t>
      </w:r>
    </w:p>
    <w:p w14:paraId="444E1373">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0" w:lineRule="exact"/>
        <w:rPr>
          <w:rFonts w:ascii="仿宋" w:hAnsi="仿宋" w:eastAsia="仿宋"/>
          <w:sz w:val="24"/>
        </w:rPr>
      </w:pPr>
      <w:r>
        <w:rPr>
          <w:rFonts w:hint="eastAsia" w:ascii="仿宋" w:hAnsi="仿宋" w:eastAsia="仿宋"/>
          <w:sz w:val="24"/>
        </w:rPr>
        <w:t>地</w:t>
      </w:r>
      <w:r>
        <w:rPr>
          <w:rFonts w:ascii="仿宋" w:hAnsi="仿宋" w:eastAsia="仿宋"/>
          <w:sz w:val="24"/>
        </w:rPr>
        <w:t xml:space="preserve">    </w:t>
      </w:r>
      <w:r>
        <w:rPr>
          <w:rFonts w:hint="eastAsia" w:ascii="仿宋" w:hAnsi="仿宋" w:eastAsia="仿宋"/>
          <w:sz w:val="24"/>
        </w:rPr>
        <w:t>址：</w:t>
      </w:r>
    </w:p>
    <w:p w14:paraId="444E1374">
      <w:pPr>
        <w:widowControl/>
        <w:shd w:val="clear" w:color="auto" w:fill="FFFFFF"/>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0" w:lineRule="exact"/>
        <w:rPr>
          <w:rFonts w:ascii="仿宋" w:hAnsi="仿宋" w:eastAsia="仿宋"/>
          <w:sz w:val="24"/>
        </w:rPr>
      </w:pPr>
      <w:r>
        <w:rPr>
          <w:rFonts w:hint="eastAsia" w:ascii="仿宋" w:hAnsi="仿宋" w:eastAsia="仿宋"/>
          <w:sz w:val="24"/>
        </w:rPr>
        <w:t>联</w:t>
      </w:r>
      <w:r>
        <w:rPr>
          <w:rFonts w:ascii="仿宋" w:hAnsi="仿宋" w:eastAsia="仿宋"/>
          <w:sz w:val="24"/>
        </w:rPr>
        <w:t xml:space="preserve"> </w:t>
      </w:r>
      <w:r>
        <w:rPr>
          <w:rFonts w:hint="eastAsia" w:ascii="仿宋" w:hAnsi="仿宋" w:eastAsia="仿宋"/>
          <w:sz w:val="24"/>
        </w:rPr>
        <w:t>系</w:t>
      </w:r>
      <w:r>
        <w:rPr>
          <w:rFonts w:ascii="仿宋" w:hAnsi="仿宋" w:eastAsia="仿宋"/>
          <w:sz w:val="24"/>
        </w:rPr>
        <w:t xml:space="preserve"> </w:t>
      </w:r>
      <w:r>
        <w:rPr>
          <w:rFonts w:hint="eastAsia" w:ascii="仿宋" w:hAnsi="仿宋" w:eastAsia="仿宋"/>
          <w:sz w:val="24"/>
        </w:rPr>
        <w:t>人：</w:t>
      </w:r>
    </w:p>
    <w:p w14:paraId="444E1375">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0" w:lineRule="exact"/>
        <w:rPr>
          <w:rFonts w:ascii="仿宋" w:hAnsi="仿宋" w:eastAsia="仿宋"/>
          <w:sz w:val="24"/>
        </w:rPr>
      </w:pPr>
      <w:r>
        <w:rPr>
          <w:rFonts w:hint="eastAsia" w:ascii="仿宋" w:hAnsi="仿宋" w:eastAsia="仿宋"/>
          <w:sz w:val="24"/>
        </w:rPr>
        <w:t>联系电话：</w:t>
      </w:r>
    </w:p>
    <w:p w14:paraId="444E1376">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0" w:lineRule="exact"/>
        <w:rPr>
          <w:rFonts w:ascii="仿宋" w:hAnsi="仿宋" w:eastAsia="仿宋"/>
          <w:sz w:val="24"/>
        </w:rPr>
      </w:pPr>
    </w:p>
    <w:p w14:paraId="444E1377">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0" w:lineRule="exact"/>
        <w:rPr>
          <w:rFonts w:ascii="仿宋" w:hAnsi="仿宋" w:eastAsia="仿宋"/>
          <w:sz w:val="24"/>
        </w:rPr>
      </w:pPr>
    </w:p>
    <w:p w14:paraId="444E1378">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0" w:lineRule="exact"/>
        <w:rPr>
          <w:rFonts w:ascii="仿宋" w:hAnsi="仿宋" w:eastAsia="仿宋"/>
          <w:sz w:val="24"/>
        </w:rPr>
      </w:pPr>
    </w:p>
    <w:p w14:paraId="444E1379">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0" w:lineRule="exact"/>
        <w:rPr>
          <w:rFonts w:ascii="仿宋" w:hAnsi="仿宋" w:eastAsia="仿宋"/>
          <w:sz w:val="24"/>
        </w:rPr>
      </w:pPr>
    </w:p>
    <w:p w14:paraId="444E137A">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0" w:lineRule="exact"/>
        <w:jc w:val="center"/>
        <w:rPr>
          <w:rFonts w:ascii="仿宋" w:hAnsi="仿宋" w:eastAsia="仿宋"/>
          <w:sz w:val="24"/>
        </w:rPr>
      </w:pPr>
      <w:r>
        <w:rPr>
          <w:rFonts w:hint="eastAsia" w:ascii="仿宋" w:hAnsi="仿宋" w:eastAsia="仿宋"/>
          <w:sz w:val="24"/>
        </w:rPr>
        <w:t>签约地点：</w:t>
      </w:r>
    </w:p>
    <w:p w14:paraId="444E137B">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0" w:lineRule="exact"/>
        <w:jc w:val="center"/>
        <w:rPr>
          <w:rFonts w:ascii="仿宋" w:hAnsi="仿宋" w:eastAsia="仿宋"/>
          <w:sz w:val="24"/>
        </w:rPr>
      </w:pPr>
    </w:p>
    <w:p w14:paraId="444E137C">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0" w:lineRule="exact"/>
        <w:jc w:val="center"/>
        <w:rPr>
          <w:rFonts w:ascii="仿宋" w:hAnsi="仿宋" w:eastAsia="仿宋"/>
          <w:sz w:val="24"/>
        </w:rPr>
      </w:pPr>
      <w:r>
        <w:rPr>
          <w:rFonts w:hint="eastAsia" w:ascii="仿宋" w:hAnsi="仿宋" w:eastAsia="仿宋"/>
          <w:sz w:val="24"/>
        </w:rPr>
        <w:t>签订日期：</w:t>
      </w:r>
      <w:r>
        <w:rPr>
          <w:rFonts w:ascii="仿宋" w:hAnsi="仿宋" w:eastAsia="仿宋"/>
          <w:sz w:val="24"/>
        </w:rPr>
        <w:t xml:space="preserve">  202</w:t>
      </w:r>
      <w:r>
        <w:rPr>
          <w:rFonts w:hint="eastAsia" w:ascii="仿宋" w:hAnsi="仿宋" w:eastAsia="仿宋"/>
          <w:sz w:val="24"/>
          <w:lang w:val="en-US" w:eastAsia="zh-CN"/>
        </w:rPr>
        <w:t>6</w:t>
      </w:r>
      <w:r>
        <w:rPr>
          <w:rFonts w:ascii="仿宋" w:hAnsi="仿宋" w:eastAsia="仿宋"/>
          <w:sz w:val="24"/>
        </w:rPr>
        <w:t xml:space="preserve">   </w:t>
      </w:r>
      <w:r>
        <w:rPr>
          <w:rFonts w:hint="eastAsia" w:ascii="仿宋" w:hAnsi="仿宋" w:eastAsia="仿宋"/>
          <w:sz w:val="24"/>
        </w:rPr>
        <w:t>年</w:t>
      </w:r>
      <w:r>
        <w:rPr>
          <w:rFonts w:ascii="仿宋" w:hAnsi="仿宋" w:eastAsia="仿宋"/>
          <w:sz w:val="24"/>
        </w:rPr>
        <w:t xml:space="preserve">     </w:t>
      </w:r>
      <w:r>
        <w:rPr>
          <w:rFonts w:hint="eastAsia" w:ascii="仿宋" w:hAnsi="仿宋" w:eastAsia="仿宋"/>
          <w:sz w:val="24"/>
        </w:rPr>
        <w:t>月</w:t>
      </w:r>
      <w:r>
        <w:rPr>
          <w:rFonts w:ascii="仿宋" w:hAnsi="仿宋" w:eastAsia="仿宋"/>
          <w:sz w:val="24"/>
        </w:rPr>
        <w:t xml:space="preserve">     </w:t>
      </w:r>
      <w:r>
        <w:rPr>
          <w:rFonts w:hint="eastAsia" w:ascii="仿宋" w:hAnsi="仿宋" w:eastAsia="仿宋"/>
          <w:sz w:val="24"/>
        </w:rPr>
        <w:t>日</w:t>
      </w:r>
    </w:p>
    <w:p w14:paraId="444E137D">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0" w:lineRule="exact"/>
        <w:rPr>
          <w:rFonts w:ascii="仿宋" w:hAnsi="仿宋" w:eastAsia="仿宋"/>
          <w:sz w:val="24"/>
        </w:rPr>
      </w:pPr>
    </w:p>
    <w:p w14:paraId="444E137E">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0" w:lineRule="exact"/>
        <w:jc w:val="center"/>
        <w:rPr>
          <w:rFonts w:ascii="仿宋" w:hAnsi="仿宋" w:eastAsia="仿宋"/>
          <w:sz w:val="24"/>
        </w:rPr>
      </w:pPr>
    </w:p>
    <w:p w14:paraId="444E137F">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0" w:lineRule="exact"/>
        <w:jc w:val="center"/>
        <w:rPr>
          <w:rFonts w:ascii="仿宋" w:hAnsi="仿宋" w:eastAsia="仿宋"/>
          <w:sz w:val="24"/>
        </w:rPr>
      </w:pPr>
    </w:p>
    <w:p w14:paraId="444E1380">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0" w:lineRule="exact"/>
        <w:jc w:val="center"/>
        <w:rPr>
          <w:rFonts w:ascii="仿宋" w:hAnsi="仿宋" w:eastAsia="仿宋"/>
          <w:sz w:val="24"/>
        </w:rPr>
      </w:pPr>
    </w:p>
    <w:p w14:paraId="444E1381">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0" w:lineRule="exact"/>
        <w:jc w:val="center"/>
        <w:rPr>
          <w:rFonts w:ascii="仿宋" w:hAnsi="仿宋" w:eastAsia="仿宋"/>
          <w:sz w:val="24"/>
        </w:rPr>
      </w:pPr>
    </w:p>
    <w:p w14:paraId="444E1382">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0" w:lineRule="exact"/>
        <w:jc w:val="center"/>
        <w:rPr>
          <w:rFonts w:ascii="仿宋" w:hAnsi="仿宋" w:eastAsia="仿宋"/>
          <w:sz w:val="24"/>
        </w:rPr>
      </w:pPr>
    </w:p>
    <w:p w14:paraId="444E1383">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0" w:lineRule="exact"/>
        <w:jc w:val="center"/>
        <w:rPr>
          <w:rFonts w:ascii="仿宋" w:hAnsi="仿宋" w:eastAsia="仿宋"/>
          <w:sz w:val="24"/>
        </w:rPr>
      </w:pPr>
    </w:p>
    <w:p w14:paraId="444E1384">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0" w:lineRule="exact"/>
        <w:jc w:val="center"/>
        <w:rPr>
          <w:rFonts w:ascii="仿宋" w:hAnsi="仿宋" w:eastAsia="仿宋"/>
          <w:sz w:val="24"/>
        </w:rPr>
      </w:pPr>
    </w:p>
    <w:p w14:paraId="444E1385">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0" w:lineRule="exact"/>
        <w:jc w:val="center"/>
        <w:rPr>
          <w:rFonts w:ascii="仿宋" w:hAnsi="仿宋" w:eastAsia="仿宋"/>
          <w:sz w:val="24"/>
        </w:rPr>
      </w:pPr>
    </w:p>
    <w:p w14:paraId="444E1386">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0" w:lineRule="exact"/>
        <w:jc w:val="center"/>
        <w:rPr>
          <w:rFonts w:ascii="仿宋" w:hAnsi="仿宋" w:eastAsia="仿宋"/>
          <w:sz w:val="24"/>
        </w:rPr>
      </w:pPr>
    </w:p>
    <w:p w14:paraId="444E1387">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0" w:lineRule="exact"/>
        <w:jc w:val="center"/>
        <w:rPr>
          <w:rFonts w:ascii="仿宋" w:hAnsi="仿宋" w:eastAsia="仿宋"/>
          <w:b/>
          <w:sz w:val="32"/>
          <w:szCs w:val="32"/>
        </w:rPr>
      </w:pPr>
      <w:r>
        <w:rPr>
          <w:rFonts w:hint="eastAsia" w:ascii="仿宋" w:hAnsi="仿宋" w:eastAsia="仿宋"/>
          <w:b/>
          <w:sz w:val="32"/>
          <w:szCs w:val="32"/>
        </w:rPr>
        <w:t>深圳时尚小镇美憬阁精选酒店</w:t>
      </w:r>
    </w:p>
    <w:p w14:paraId="444E1388">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0" w:lineRule="exact"/>
        <w:jc w:val="center"/>
        <w:rPr>
          <w:rFonts w:ascii="仿宋" w:hAnsi="仿宋" w:eastAsia="仿宋"/>
          <w:b/>
          <w:sz w:val="32"/>
          <w:szCs w:val="32"/>
        </w:rPr>
      </w:pPr>
      <w:r>
        <w:rPr>
          <w:rFonts w:hint="eastAsia" w:ascii="仿宋" w:hAnsi="仿宋" w:eastAsia="仿宋"/>
          <w:b/>
          <w:sz w:val="32"/>
          <w:szCs w:val="32"/>
        </w:rPr>
        <w:t>有害生物防治服务合同</w:t>
      </w:r>
    </w:p>
    <w:p w14:paraId="444E1389">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0" w:lineRule="exact"/>
        <w:jc w:val="center"/>
        <w:rPr>
          <w:rFonts w:ascii="仿宋" w:hAnsi="仿宋" w:eastAsia="仿宋"/>
          <w:sz w:val="24"/>
        </w:rPr>
      </w:pPr>
    </w:p>
    <w:p w14:paraId="444E138A">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0" w:lineRule="exact"/>
        <w:rPr>
          <w:rFonts w:ascii="仿宋" w:hAnsi="仿宋" w:eastAsia="仿宋"/>
          <w:sz w:val="24"/>
        </w:rPr>
      </w:pPr>
    </w:p>
    <w:p w14:paraId="444E138B">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0" w:lineRule="exact"/>
        <w:rPr>
          <w:rFonts w:ascii="仿宋" w:hAnsi="仿宋" w:eastAsia="仿宋"/>
          <w:sz w:val="24"/>
        </w:rPr>
      </w:pPr>
    </w:p>
    <w:p w14:paraId="444E138C">
      <w:pPr>
        <w:spacing w:line="380" w:lineRule="exact"/>
        <w:jc w:val="left"/>
        <w:rPr>
          <w:rFonts w:ascii="仿宋" w:hAnsi="仿宋" w:eastAsia="仿宋"/>
          <w:sz w:val="24"/>
        </w:rPr>
      </w:pPr>
      <w:r>
        <w:rPr>
          <w:rFonts w:ascii="仿宋" w:hAnsi="仿宋" w:eastAsia="仿宋"/>
          <w:sz w:val="24"/>
        </w:rPr>
        <w:t xml:space="preserve">    </w:t>
      </w:r>
      <w:r>
        <w:rPr>
          <w:rFonts w:hint="eastAsia" w:ascii="仿宋" w:hAnsi="仿宋" w:eastAsia="仿宋"/>
          <w:sz w:val="24"/>
        </w:rPr>
        <w:t>甲乙双方就乙方为甲方提供虫害防治服务事宜，遵循平等、互利、自愿、公平的原则，根据《中华人民共和国民法典》及地方政府相关法律法规规定，经友好协商，达成一致意见，订立本合同。</w:t>
      </w:r>
    </w:p>
    <w:p w14:paraId="444E138D">
      <w:pPr>
        <w:spacing w:line="380" w:lineRule="exact"/>
        <w:jc w:val="center"/>
        <w:rPr>
          <w:rFonts w:ascii="仿宋" w:hAnsi="仿宋" w:eastAsia="仿宋"/>
          <w:bCs/>
          <w:sz w:val="24"/>
        </w:rPr>
      </w:pPr>
    </w:p>
    <w:p w14:paraId="444E138E">
      <w:pPr>
        <w:numPr>
          <w:ilvl w:val="0"/>
          <w:numId w:val="1"/>
        </w:numPr>
        <w:spacing w:line="380" w:lineRule="exact"/>
        <w:jc w:val="center"/>
        <w:rPr>
          <w:rFonts w:ascii="仿宋" w:hAnsi="仿宋" w:eastAsia="仿宋"/>
          <w:bCs/>
          <w:sz w:val="24"/>
        </w:rPr>
      </w:pPr>
      <w:r>
        <w:rPr>
          <w:rFonts w:ascii="仿宋" w:hAnsi="仿宋" w:eastAsia="仿宋"/>
          <w:bCs/>
          <w:sz w:val="24"/>
        </w:rPr>
        <w:t xml:space="preserve"> </w:t>
      </w:r>
      <w:r>
        <w:rPr>
          <w:rFonts w:hint="eastAsia" w:ascii="仿宋" w:hAnsi="仿宋" w:eastAsia="仿宋"/>
          <w:bCs/>
          <w:sz w:val="24"/>
        </w:rPr>
        <w:t>乙方的服务内容</w:t>
      </w:r>
    </w:p>
    <w:p w14:paraId="444E138F">
      <w:pPr>
        <w:numPr>
          <w:ilvl w:val="255"/>
          <w:numId w:val="0"/>
        </w:numPr>
        <w:spacing w:line="380" w:lineRule="exact"/>
        <w:rPr>
          <w:rFonts w:ascii="仿宋" w:hAnsi="仿宋" w:eastAsia="仿宋"/>
          <w:bCs/>
          <w:sz w:val="24"/>
        </w:rPr>
      </w:pPr>
    </w:p>
    <w:p w14:paraId="444E1390">
      <w:pPr>
        <w:widowControl/>
        <w:spacing w:after="200" w:line="400" w:lineRule="exact"/>
        <w:jc w:val="left"/>
        <w:rPr>
          <w:rFonts w:ascii="仿宋" w:hAnsi="仿宋" w:eastAsia="仿宋"/>
          <w:kern w:val="0"/>
          <w:sz w:val="24"/>
        </w:rPr>
      </w:pPr>
      <w:r>
        <w:rPr>
          <w:rFonts w:hint="eastAsia" w:ascii="仿宋" w:hAnsi="仿宋" w:eastAsia="仿宋"/>
          <w:kern w:val="0"/>
          <w:sz w:val="24"/>
        </w:rPr>
        <w:t>1.</w:t>
      </w:r>
      <w:r>
        <w:rPr>
          <w:rFonts w:ascii="仿宋" w:hAnsi="仿宋" w:eastAsia="仿宋"/>
          <w:kern w:val="0"/>
          <w:sz w:val="24"/>
        </w:rPr>
        <w:t>1</w:t>
      </w:r>
      <w:r>
        <w:rPr>
          <w:rFonts w:hint="eastAsia" w:ascii="仿宋" w:hAnsi="仿宋" w:eastAsia="仿宋"/>
          <w:kern w:val="0"/>
          <w:sz w:val="24"/>
        </w:rPr>
        <w:t xml:space="preserve"> 服务目标</w:t>
      </w:r>
    </w:p>
    <w:p w14:paraId="444E1391">
      <w:pPr>
        <w:spacing w:line="400" w:lineRule="exact"/>
        <w:ind w:firstLine="480" w:firstLineChars="200"/>
        <w:rPr>
          <w:rFonts w:ascii="仿宋" w:hAnsi="仿宋" w:eastAsia="仿宋"/>
          <w:sz w:val="24"/>
        </w:rPr>
      </w:pPr>
      <w:r>
        <w:rPr>
          <w:rFonts w:hint="eastAsia" w:ascii="仿宋" w:hAnsi="仿宋" w:eastAsia="仿宋"/>
          <w:sz w:val="24"/>
        </w:rPr>
        <w:t>根据甲方酒店的特点和有害生物防治种类，乙方有针对性的采取科学、规范、环保、综合性的灭杀措施，有效降低和控制虫害密度，达到全国爱卫生运动委员会规定的除四害达标标准。</w:t>
      </w:r>
    </w:p>
    <w:p w14:paraId="444E1393">
      <w:pPr>
        <w:widowControl/>
        <w:spacing w:line="400" w:lineRule="exact"/>
        <w:ind w:firstLine="480" w:firstLineChars="200"/>
        <w:jc w:val="left"/>
        <w:rPr>
          <w:rFonts w:ascii="仿宋" w:hAnsi="仿宋" w:eastAsia="仿宋"/>
          <w:kern w:val="0"/>
          <w:sz w:val="24"/>
        </w:rPr>
      </w:pPr>
      <w:r>
        <w:rPr>
          <w:rFonts w:hint="eastAsia" w:ascii="仿宋" w:hAnsi="仿宋" w:eastAsia="仿宋"/>
          <w:sz w:val="24"/>
        </w:rPr>
        <w:t>乙方为甲方提供白蚁防治、检查服务，并按照建设部</w:t>
      </w:r>
      <w:r>
        <w:rPr>
          <w:rFonts w:ascii="仿宋" w:hAnsi="仿宋" w:eastAsia="仿宋"/>
          <w:sz w:val="24"/>
        </w:rPr>
        <w:t>D850/5010-1999</w:t>
      </w:r>
      <w:r>
        <w:rPr>
          <w:rFonts w:hint="eastAsia" w:ascii="仿宋" w:hAnsi="仿宋" w:eastAsia="仿宋"/>
          <w:sz w:val="24"/>
        </w:rPr>
        <w:t>《白蚁防治施工技术规定》要求完成日常技术施工作业，保证对出现白蚁的区域及时处理、跟踪服务。</w:t>
      </w:r>
    </w:p>
    <w:p w14:paraId="444E1394">
      <w:pPr>
        <w:widowControl/>
        <w:spacing w:after="200" w:line="400" w:lineRule="exact"/>
        <w:jc w:val="left"/>
        <w:rPr>
          <w:rFonts w:ascii="仿宋" w:hAnsi="仿宋" w:eastAsia="仿宋"/>
          <w:kern w:val="0"/>
          <w:sz w:val="24"/>
        </w:rPr>
      </w:pPr>
      <w:r>
        <w:rPr>
          <w:rFonts w:hint="eastAsia" w:ascii="仿宋" w:hAnsi="仿宋" w:eastAsia="仿宋"/>
          <w:kern w:val="0"/>
          <w:sz w:val="24"/>
        </w:rPr>
        <w:t>1.</w:t>
      </w:r>
      <w:r>
        <w:rPr>
          <w:rFonts w:ascii="仿宋" w:hAnsi="仿宋" w:eastAsia="仿宋"/>
          <w:kern w:val="0"/>
          <w:sz w:val="24"/>
        </w:rPr>
        <w:t>2</w:t>
      </w:r>
      <w:r>
        <w:rPr>
          <w:rFonts w:hint="eastAsia" w:ascii="仿宋" w:hAnsi="仿宋" w:eastAsia="仿宋"/>
          <w:kern w:val="0"/>
          <w:sz w:val="24"/>
        </w:rPr>
        <w:t xml:space="preserve"> 服</w:t>
      </w:r>
      <w:r>
        <w:rPr>
          <w:rFonts w:ascii="仿宋" w:hAnsi="仿宋" w:eastAsia="仿宋"/>
          <w:kern w:val="0"/>
          <w:sz w:val="24"/>
        </w:rPr>
        <w:t>务</w:t>
      </w:r>
      <w:r>
        <w:rPr>
          <w:rFonts w:hint="eastAsia" w:ascii="仿宋" w:hAnsi="仿宋" w:eastAsia="仿宋"/>
          <w:kern w:val="0"/>
          <w:sz w:val="24"/>
          <w:shd w:val="clear" w:color="auto" w:fill="FFFFFF"/>
        </w:rPr>
        <w:t>区域</w:t>
      </w:r>
      <w:r>
        <w:rPr>
          <w:rFonts w:hint="eastAsia" w:ascii="仿宋" w:hAnsi="仿宋" w:eastAsia="仿宋"/>
          <w:kern w:val="0"/>
          <w:sz w:val="24"/>
        </w:rPr>
        <w:t>范围及频率</w:t>
      </w:r>
    </w:p>
    <w:p w14:paraId="444E1395">
      <w:pPr>
        <w:spacing w:line="400" w:lineRule="exact"/>
        <w:ind w:firstLine="480" w:firstLineChars="200"/>
        <w:jc w:val="left"/>
        <w:rPr>
          <w:rFonts w:ascii="仿宋" w:hAnsi="仿宋" w:eastAsia="仿宋"/>
          <w:color w:val="333333"/>
          <w:kern w:val="0"/>
          <w:sz w:val="24"/>
        </w:rPr>
      </w:pPr>
      <w:r>
        <w:rPr>
          <w:rFonts w:hint="eastAsia" w:ascii="仿宋" w:hAnsi="仿宋" w:eastAsia="仿宋"/>
          <w:color w:val="000000"/>
          <w:kern w:val="0"/>
          <w:sz w:val="24"/>
        </w:rPr>
        <w:t>甲方委托乙方提供消杀服务的范围包括【公共区域、客房、餐厅、厨房、后勤区域</w:t>
      </w:r>
      <w:r>
        <w:rPr>
          <w:rFonts w:hint="eastAsia" w:ascii="仿宋" w:hAnsi="仿宋" w:eastAsia="仿宋"/>
          <w:color w:val="333333"/>
          <w:kern w:val="0"/>
          <w:sz w:val="24"/>
        </w:rPr>
        <w:t>、行政办公区域、宴会厅、会议室、行政酒廊</w:t>
      </w:r>
      <w:r>
        <w:rPr>
          <w:rFonts w:hint="eastAsia" w:ascii="仿宋" w:hAnsi="仿宋" w:eastAsia="仿宋"/>
          <w:color w:val="000000"/>
          <w:kern w:val="0"/>
          <w:sz w:val="24"/>
        </w:rPr>
        <w:t>】</w:t>
      </w:r>
      <w:r>
        <w:rPr>
          <w:rFonts w:hint="eastAsia" w:ascii="仿宋" w:hAnsi="仿宋" w:eastAsia="仿宋"/>
          <w:color w:val="333333"/>
          <w:kern w:val="0"/>
          <w:sz w:val="24"/>
        </w:rPr>
        <w:t>等相关</w:t>
      </w:r>
      <w:r>
        <w:rPr>
          <w:rFonts w:hint="eastAsia" w:ascii="仿宋" w:hAnsi="仿宋" w:eastAsia="仿宋"/>
          <w:color w:val="333333"/>
          <w:kern w:val="0"/>
          <w:sz w:val="24"/>
          <w:shd w:val="clear" w:color="auto" w:fill="FFFFFF"/>
        </w:rPr>
        <w:t>区域</w:t>
      </w:r>
      <w:r>
        <w:rPr>
          <w:rFonts w:hint="eastAsia" w:ascii="仿宋" w:hAnsi="仿宋" w:eastAsia="仿宋"/>
          <w:color w:val="000000"/>
          <w:kern w:val="0"/>
          <w:sz w:val="24"/>
        </w:rPr>
        <w:t>范围</w:t>
      </w:r>
      <w:r>
        <w:rPr>
          <w:rFonts w:hint="eastAsia" w:ascii="仿宋" w:hAnsi="仿宋" w:eastAsia="仿宋"/>
          <w:color w:val="333333"/>
          <w:kern w:val="0"/>
          <w:sz w:val="24"/>
        </w:rPr>
        <w:t>。如下：</w:t>
      </w:r>
    </w:p>
    <w:tbl>
      <w:tblPr>
        <w:tblStyle w:val="7"/>
        <w:tblpPr w:leftFromText="180" w:rightFromText="180" w:vertAnchor="text" w:horzAnchor="page" w:tblpX="1684" w:tblpY="528"/>
        <w:tblW w:w="5129" w:type="pct"/>
        <w:tblInd w:w="0" w:type="dxa"/>
        <w:tblLayout w:type="autofit"/>
        <w:tblCellMar>
          <w:top w:w="0" w:type="dxa"/>
          <w:left w:w="108" w:type="dxa"/>
          <w:bottom w:w="0" w:type="dxa"/>
          <w:right w:w="108" w:type="dxa"/>
        </w:tblCellMar>
      </w:tblPr>
      <w:tblGrid>
        <w:gridCol w:w="1787"/>
        <w:gridCol w:w="3892"/>
        <w:gridCol w:w="3063"/>
      </w:tblGrid>
      <w:tr w14:paraId="444E1398">
        <w:tblPrEx>
          <w:tblCellMar>
            <w:top w:w="0" w:type="dxa"/>
            <w:left w:w="108" w:type="dxa"/>
            <w:bottom w:w="0" w:type="dxa"/>
            <w:right w:w="108" w:type="dxa"/>
          </w:tblCellMar>
        </w:tblPrEx>
        <w:trPr>
          <w:trHeight w:val="330" w:hRule="atLeast"/>
        </w:trPr>
        <w:tc>
          <w:tcPr>
            <w:tcW w:w="3248" w:type="pct"/>
            <w:gridSpan w:val="2"/>
            <w:tcBorders>
              <w:top w:val="double" w:color="auto" w:sz="4" w:space="0"/>
              <w:left w:val="double" w:color="auto" w:sz="4" w:space="0"/>
              <w:right w:val="single" w:color="auto" w:sz="4" w:space="0"/>
            </w:tcBorders>
            <w:vAlign w:val="center"/>
          </w:tcPr>
          <w:p w14:paraId="444E1396">
            <w:pPr>
              <w:adjustRightInd w:val="0"/>
              <w:snapToGrid w:val="0"/>
              <w:spacing w:before="120" w:line="380" w:lineRule="exact"/>
              <w:ind w:left="360"/>
              <w:jc w:val="center"/>
              <w:rPr>
                <w:rFonts w:ascii="仿宋" w:hAnsi="仿宋" w:eastAsia="仿宋" w:cs="黑体"/>
                <w:sz w:val="24"/>
              </w:rPr>
            </w:pPr>
            <w:r>
              <w:rPr>
                <w:rFonts w:hint="eastAsia" w:ascii="仿宋" w:hAnsi="仿宋" w:eastAsia="仿宋" w:cs="黑体"/>
                <w:sz w:val="24"/>
              </w:rPr>
              <w:t>区域</w:t>
            </w:r>
            <w:r>
              <w:rPr>
                <w:rFonts w:ascii="仿宋" w:hAnsi="仿宋" w:eastAsia="仿宋" w:cs="黑体"/>
                <w:sz w:val="24"/>
              </w:rPr>
              <w:t>/服务频率</w:t>
            </w:r>
          </w:p>
        </w:tc>
        <w:tc>
          <w:tcPr>
            <w:tcW w:w="1752" w:type="pct"/>
            <w:tcBorders>
              <w:top w:val="double" w:color="auto" w:sz="4" w:space="0"/>
              <w:left w:val="single" w:color="auto" w:sz="4" w:space="0"/>
              <w:right w:val="double" w:color="auto" w:sz="4" w:space="0"/>
            </w:tcBorders>
            <w:vAlign w:val="center"/>
          </w:tcPr>
          <w:p w14:paraId="444E1397">
            <w:pPr>
              <w:tabs>
                <w:tab w:val="left" w:pos="1470"/>
              </w:tabs>
              <w:adjustRightInd w:val="0"/>
              <w:snapToGrid w:val="0"/>
              <w:spacing w:before="120" w:line="380" w:lineRule="exact"/>
              <w:ind w:left="16" w:leftChars="-54" w:hanging="129" w:hangingChars="54"/>
              <w:jc w:val="center"/>
              <w:rPr>
                <w:rFonts w:ascii="仿宋" w:hAnsi="仿宋" w:eastAsia="仿宋" w:cs="黑体"/>
                <w:sz w:val="24"/>
              </w:rPr>
            </w:pPr>
            <w:r>
              <w:rPr>
                <w:rFonts w:hint="eastAsia" w:ascii="仿宋" w:hAnsi="仿宋" w:eastAsia="仿宋" w:cs="黑体"/>
                <w:sz w:val="24"/>
              </w:rPr>
              <w:t>常规服务</w:t>
            </w:r>
          </w:p>
        </w:tc>
      </w:tr>
      <w:tr w14:paraId="444E139C">
        <w:tblPrEx>
          <w:tblCellMar>
            <w:top w:w="0" w:type="dxa"/>
            <w:left w:w="108" w:type="dxa"/>
            <w:bottom w:w="0" w:type="dxa"/>
            <w:right w:w="108" w:type="dxa"/>
          </w:tblCellMar>
        </w:tblPrEx>
        <w:trPr>
          <w:trHeight w:val="427" w:hRule="atLeast"/>
        </w:trPr>
        <w:tc>
          <w:tcPr>
            <w:tcW w:w="1022" w:type="pct"/>
            <w:tcBorders>
              <w:top w:val="single" w:color="auto" w:sz="4" w:space="0"/>
              <w:left w:val="double" w:color="auto" w:sz="4" w:space="0"/>
              <w:bottom w:val="single" w:color="auto" w:sz="4" w:space="0"/>
              <w:right w:val="single" w:color="auto" w:sz="4" w:space="0"/>
            </w:tcBorders>
            <w:vAlign w:val="center"/>
          </w:tcPr>
          <w:p w14:paraId="444E1399">
            <w:pPr>
              <w:tabs>
                <w:tab w:val="left" w:pos="1470"/>
              </w:tabs>
              <w:adjustRightInd w:val="0"/>
              <w:snapToGrid w:val="0"/>
              <w:spacing w:before="120" w:line="380" w:lineRule="exact"/>
              <w:rPr>
                <w:rFonts w:ascii="仿宋" w:hAnsi="仿宋" w:eastAsia="仿宋" w:cs="黑体"/>
                <w:sz w:val="24"/>
              </w:rPr>
            </w:pPr>
            <w:r>
              <w:rPr>
                <w:rFonts w:hint="eastAsia" w:ascii="仿宋" w:hAnsi="仿宋" w:eastAsia="仿宋" w:cs="黑体"/>
                <w:sz w:val="24"/>
              </w:rPr>
              <w:t>客房区域</w:t>
            </w:r>
          </w:p>
        </w:tc>
        <w:tc>
          <w:tcPr>
            <w:tcW w:w="2226" w:type="pct"/>
            <w:tcBorders>
              <w:top w:val="single" w:color="auto" w:sz="4" w:space="0"/>
              <w:left w:val="single" w:color="auto" w:sz="4" w:space="0"/>
              <w:bottom w:val="single" w:color="auto" w:sz="4" w:space="0"/>
              <w:right w:val="single" w:color="auto" w:sz="4" w:space="0"/>
            </w:tcBorders>
            <w:vAlign w:val="center"/>
          </w:tcPr>
          <w:p w14:paraId="444E139A">
            <w:pPr>
              <w:tabs>
                <w:tab w:val="left" w:pos="1470"/>
              </w:tabs>
              <w:adjustRightInd w:val="0"/>
              <w:snapToGrid w:val="0"/>
              <w:spacing w:before="120" w:line="380" w:lineRule="exact"/>
              <w:rPr>
                <w:rFonts w:ascii="仿宋" w:hAnsi="仿宋" w:eastAsia="仿宋" w:cs="黑体"/>
                <w:sz w:val="24"/>
              </w:rPr>
            </w:pPr>
            <w:r>
              <w:rPr>
                <w:rFonts w:hint="eastAsia" w:ascii="仿宋" w:hAnsi="仿宋" w:eastAsia="仿宋" w:cs="黑体"/>
                <w:sz w:val="24"/>
              </w:rPr>
              <w:t>所有客房</w:t>
            </w:r>
            <w:r>
              <w:rPr>
                <w:rFonts w:ascii="仿宋" w:hAnsi="仿宋" w:eastAsia="仿宋" w:cs="黑体"/>
                <w:sz w:val="24"/>
              </w:rPr>
              <w:t>/楼面过道/公共区域</w:t>
            </w:r>
          </w:p>
        </w:tc>
        <w:tc>
          <w:tcPr>
            <w:tcW w:w="1752" w:type="pct"/>
            <w:tcBorders>
              <w:top w:val="single" w:color="auto" w:sz="4" w:space="0"/>
              <w:left w:val="single" w:color="auto" w:sz="4" w:space="0"/>
              <w:bottom w:val="single" w:color="auto" w:sz="4" w:space="0"/>
              <w:right w:val="double" w:color="auto" w:sz="4" w:space="0"/>
            </w:tcBorders>
            <w:vAlign w:val="center"/>
          </w:tcPr>
          <w:p w14:paraId="444E139B">
            <w:pPr>
              <w:tabs>
                <w:tab w:val="left" w:pos="1470"/>
              </w:tabs>
              <w:adjustRightInd w:val="0"/>
              <w:snapToGrid w:val="0"/>
              <w:spacing w:before="120" w:line="380" w:lineRule="exact"/>
              <w:rPr>
                <w:rFonts w:ascii="仿宋" w:hAnsi="仿宋" w:eastAsia="仿宋" w:cs="黑体"/>
                <w:sz w:val="24"/>
              </w:rPr>
            </w:pPr>
            <w:r>
              <w:rPr>
                <w:rFonts w:hint="eastAsia" w:ascii="仿宋" w:hAnsi="仿宋" w:eastAsia="仿宋" w:cs="黑体"/>
                <w:sz w:val="24"/>
              </w:rPr>
              <w:t>每月全面覆盖处理</w:t>
            </w:r>
            <w:r>
              <w:rPr>
                <w:rFonts w:ascii="仿宋" w:hAnsi="仿宋" w:eastAsia="仿宋" w:cs="黑体"/>
                <w:sz w:val="24"/>
              </w:rPr>
              <w:t>1次</w:t>
            </w:r>
          </w:p>
        </w:tc>
      </w:tr>
      <w:tr w14:paraId="444E13A0">
        <w:tblPrEx>
          <w:tblCellMar>
            <w:top w:w="0" w:type="dxa"/>
            <w:left w:w="108" w:type="dxa"/>
            <w:bottom w:w="0" w:type="dxa"/>
            <w:right w:w="108" w:type="dxa"/>
          </w:tblCellMar>
        </w:tblPrEx>
        <w:trPr>
          <w:trHeight w:val="465" w:hRule="atLeast"/>
        </w:trPr>
        <w:tc>
          <w:tcPr>
            <w:tcW w:w="1022" w:type="pct"/>
            <w:tcBorders>
              <w:top w:val="single" w:color="auto" w:sz="4" w:space="0"/>
              <w:left w:val="double" w:color="auto" w:sz="4" w:space="0"/>
              <w:right w:val="single" w:color="auto" w:sz="4" w:space="0"/>
            </w:tcBorders>
            <w:vAlign w:val="center"/>
          </w:tcPr>
          <w:p w14:paraId="444E139D">
            <w:pPr>
              <w:tabs>
                <w:tab w:val="left" w:pos="1470"/>
              </w:tabs>
              <w:adjustRightInd w:val="0"/>
              <w:snapToGrid w:val="0"/>
              <w:spacing w:before="120" w:line="380" w:lineRule="exact"/>
              <w:rPr>
                <w:rFonts w:ascii="仿宋" w:hAnsi="仿宋" w:eastAsia="仿宋" w:cs="黑体"/>
                <w:sz w:val="24"/>
              </w:rPr>
            </w:pPr>
            <w:r>
              <w:rPr>
                <w:rFonts w:hint="eastAsia" w:ascii="仿宋" w:hAnsi="仿宋" w:eastAsia="仿宋" w:cs="黑体"/>
                <w:sz w:val="24"/>
              </w:rPr>
              <w:t>客房公区</w:t>
            </w:r>
          </w:p>
        </w:tc>
        <w:tc>
          <w:tcPr>
            <w:tcW w:w="2226" w:type="pct"/>
            <w:tcBorders>
              <w:top w:val="single" w:color="auto" w:sz="4" w:space="0"/>
              <w:left w:val="single" w:color="auto" w:sz="4" w:space="0"/>
              <w:bottom w:val="single" w:color="auto" w:sz="4" w:space="0"/>
              <w:right w:val="single" w:color="auto" w:sz="4" w:space="0"/>
            </w:tcBorders>
            <w:vAlign w:val="center"/>
          </w:tcPr>
          <w:p w14:paraId="444E139E">
            <w:pPr>
              <w:tabs>
                <w:tab w:val="left" w:pos="1470"/>
              </w:tabs>
              <w:adjustRightInd w:val="0"/>
              <w:snapToGrid w:val="0"/>
              <w:spacing w:before="120" w:line="380" w:lineRule="exact"/>
              <w:rPr>
                <w:rFonts w:ascii="仿宋" w:hAnsi="仿宋" w:eastAsia="仿宋" w:cs="黑体"/>
                <w:sz w:val="24"/>
              </w:rPr>
            </w:pPr>
            <w:r>
              <w:rPr>
                <w:rFonts w:hint="eastAsia" w:ascii="仿宋" w:hAnsi="仿宋" w:eastAsia="仿宋" w:cs="黑体"/>
                <w:sz w:val="24"/>
              </w:rPr>
              <w:t>管道井</w:t>
            </w:r>
          </w:p>
        </w:tc>
        <w:tc>
          <w:tcPr>
            <w:tcW w:w="1752" w:type="pct"/>
            <w:tcBorders>
              <w:top w:val="single" w:color="auto" w:sz="4" w:space="0"/>
              <w:left w:val="single" w:color="auto" w:sz="4" w:space="0"/>
              <w:bottom w:val="single" w:color="auto" w:sz="4" w:space="0"/>
              <w:right w:val="double" w:color="auto" w:sz="4" w:space="0"/>
            </w:tcBorders>
            <w:vAlign w:val="center"/>
          </w:tcPr>
          <w:p w14:paraId="444E139F">
            <w:pPr>
              <w:tabs>
                <w:tab w:val="left" w:pos="1470"/>
              </w:tabs>
              <w:adjustRightInd w:val="0"/>
              <w:snapToGrid w:val="0"/>
              <w:spacing w:before="120" w:line="380" w:lineRule="exact"/>
              <w:rPr>
                <w:rFonts w:ascii="仿宋" w:hAnsi="仿宋" w:eastAsia="仿宋" w:cs="黑体"/>
                <w:sz w:val="24"/>
              </w:rPr>
            </w:pPr>
            <w:r>
              <w:rPr>
                <w:rFonts w:hint="eastAsia" w:ascii="仿宋" w:hAnsi="仿宋" w:eastAsia="仿宋" w:cs="黑体"/>
                <w:sz w:val="24"/>
              </w:rPr>
              <w:t>每月全面覆盖处理</w:t>
            </w:r>
            <w:r>
              <w:rPr>
                <w:rFonts w:ascii="仿宋" w:hAnsi="仿宋" w:eastAsia="仿宋" w:cs="黑体"/>
                <w:sz w:val="24"/>
              </w:rPr>
              <w:t>1次</w:t>
            </w:r>
          </w:p>
        </w:tc>
      </w:tr>
      <w:tr w14:paraId="444E13A4">
        <w:tblPrEx>
          <w:tblCellMar>
            <w:top w:w="0" w:type="dxa"/>
            <w:left w:w="108" w:type="dxa"/>
            <w:bottom w:w="0" w:type="dxa"/>
            <w:right w:w="108" w:type="dxa"/>
          </w:tblCellMar>
        </w:tblPrEx>
        <w:trPr>
          <w:trHeight w:val="465" w:hRule="atLeast"/>
        </w:trPr>
        <w:tc>
          <w:tcPr>
            <w:tcW w:w="1022" w:type="pct"/>
            <w:vMerge w:val="restart"/>
            <w:tcBorders>
              <w:top w:val="single" w:color="auto" w:sz="4" w:space="0"/>
              <w:left w:val="double" w:color="auto" w:sz="4" w:space="0"/>
              <w:right w:val="single" w:color="auto" w:sz="4" w:space="0"/>
            </w:tcBorders>
            <w:vAlign w:val="center"/>
          </w:tcPr>
          <w:p w14:paraId="444E13A1">
            <w:pPr>
              <w:tabs>
                <w:tab w:val="left" w:pos="1470"/>
              </w:tabs>
              <w:adjustRightInd w:val="0"/>
              <w:snapToGrid w:val="0"/>
              <w:spacing w:before="120" w:line="380" w:lineRule="exact"/>
              <w:rPr>
                <w:rFonts w:ascii="仿宋" w:hAnsi="仿宋" w:eastAsia="仿宋" w:cs="黑体"/>
                <w:sz w:val="24"/>
              </w:rPr>
            </w:pPr>
            <w:r>
              <w:rPr>
                <w:rFonts w:hint="eastAsia" w:ascii="仿宋" w:hAnsi="仿宋" w:eastAsia="仿宋" w:cs="黑体"/>
                <w:sz w:val="24"/>
              </w:rPr>
              <w:t>其他区域</w:t>
            </w:r>
          </w:p>
        </w:tc>
        <w:tc>
          <w:tcPr>
            <w:tcW w:w="2226" w:type="pct"/>
            <w:tcBorders>
              <w:top w:val="single" w:color="auto" w:sz="4" w:space="0"/>
              <w:left w:val="single" w:color="auto" w:sz="4" w:space="0"/>
              <w:bottom w:val="single" w:color="auto" w:sz="4" w:space="0"/>
              <w:right w:val="single" w:color="auto" w:sz="4" w:space="0"/>
            </w:tcBorders>
            <w:vAlign w:val="center"/>
          </w:tcPr>
          <w:p w14:paraId="444E13A2">
            <w:pPr>
              <w:tabs>
                <w:tab w:val="left" w:pos="1470"/>
              </w:tabs>
              <w:adjustRightInd w:val="0"/>
              <w:snapToGrid w:val="0"/>
              <w:spacing w:line="380" w:lineRule="exact"/>
              <w:rPr>
                <w:rFonts w:ascii="仿宋" w:hAnsi="仿宋" w:eastAsia="仿宋" w:cs="黑体"/>
                <w:sz w:val="24"/>
              </w:rPr>
            </w:pPr>
            <w:r>
              <w:rPr>
                <w:rFonts w:hint="eastAsia" w:ascii="仿宋" w:hAnsi="仿宋" w:eastAsia="仿宋" w:cs="黑体"/>
                <w:sz w:val="24"/>
              </w:rPr>
              <w:t>宴会厅</w:t>
            </w:r>
            <w:r>
              <w:rPr>
                <w:rFonts w:ascii="仿宋" w:hAnsi="仿宋" w:eastAsia="仿宋" w:cs="黑体"/>
                <w:sz w:val="24"/>
              </w:rPr>
              <w:t>/收货平台/垃圾房/公共区域/大堂/洗手间</w:t>
            </w:r>
          </w:p>
        </w:tc>
        <w:tc>
          <w:tcPr>
            <w:tcW w:w="1752" w:type="pct"/>
            <w:tcBorders>
              <w:top w:val="single" w:color="auto" w:sz="4" w:space="0"/>
              <w:left w:val="single" w:color="auto" w:sz="4" w:space="0"/>
              <w:bottom w:val="single" w:color="auto" w:sz="4" w:space="0"/>
              <w:right w:val="double" w:color="auto" w:sz="4" w:space="0"/>
            </w:tcBorders>
            <w:vAlign w:val="center"/>
          </w:tcPr>
          <w:p w14:paraId="444E13A3">
            <w:pPr>
              <w:tabs>
                <w:tab w:val="left" w:pos="1470"/>
              </w:tabs>
              <w:adjustRightInd w:val="0"/>
              <w:snapToGrid w:val="0"/>
              <w:spacing w:before="120" w:line="380" w:lineRule="exact"/>
              <w:rPr>
                <w:rFonts w:ascii="仿宋" w:hAnsi="仿宋" w:eastAsia="仿宋" w:cs="黑体"/>
                <w:sz w:val="24"/>
              </w:rPr>
            </w:pPr>
            <w:r>
              <w:rPr>
                <w:rFonts w:hint="eastAsia" w:ascii="仿宋" w:hAnsi="仿宋" w:eastAsia="仿宋" w:cs="黑体"/>
                <w:sz w:val="24"/>
              </w:rPr>
              <w:t>全面处理</w:t>
            </w:r>
            <w:r>
              <w:rPr>
                <w:rFonts w:ascii="仿宋" w:hAnsi="仿宋" w:eastAsia="仿宋" w:cs="黑体"/>
                <w:sz w:val="24"/>
              </w:rPr>
              <w:t>4次/月</w:t>
            </w:r>
          </w:p>
        </w:tc>
      </w:tr>
      <w:tr w14:paraId="444E13A8">
        <w:tblPrEx>
          <w:tblCellMar>
            <w:top w:w="0" w:type="dxa"/>
            <w:left w:w="108" w:type="dxa"/>
            <w:bottom w:w="0" w:type="dxa"/>
            <w:right w:w="108" w:type="dxa"/>
          </w:tblCellMar>
        </w:tblPrEx>
        <w:trPr>
          <w:trHeight w:val="465" w:hRule="atLeast"/>
        </w:trPr>
        <w:tc>
          <w:tcPr>
            <w:tcW w:w="1022" w:type="pct"/>
            <w:vMerge w:val="continue"/>
            <w:tcBorders>
              <w:left w:val="double" w:color="auto" w:sz="4" w:space="0"/>
              <w:bottom w:val="single" w:color="auto" w:sz="4" w:space="0"/>
              <w:right w:val="single" w:color="auto" w:sz="4" w:space="0"/>
            </w:tcBorders>
            <w:vAlign w:val="center"/>
          </w:tcPr>
          <w:p w14:paraId="444E13A5">
            <w:pPr>
              <w:tabs>
                <w:tab w:val="left" w:pos="1470"/>
              </w:tabs>
              <w:adjustRightInd w:val="0"/>
              <w:snapToGrid w:val="0"/>
              <w:spacing w:before="120" w:line="380" w:lineRule="exact"/>
              <w:rPr>
                <w:rFonts w:ascii="仿宋" w:hAnsi="仿宋" w:eastAsia="仿宋" w:cs="黑体"/>
                <w:sz w:val="24"/>
              </w:rPr>
            </w:pPr>
          </w:p>
        </w:tc>
        <w:tc>
          <w:tcPr>
            <w:tcW w:w="2226" w:type="pct"/>
            <w:tcBorders>
              <w:top w:val="single" w:color="auto" w:sz="4" w:space="0"/>
              <w:left w:val="single" w:color="auto" w:sz="4" w:space="0"/>
              <w:bottom w:val="single" w:color="auto" w:sz="4" w:space="0"/>
              <w:right w:val="single" w:color="auto" w:sz="4" w:space="0"/>
            </w:tcBorders>
            <w:vAlign w:val="center"/>
          </w:tcPr>
          <w:p w14:paraId="444E13A6">
            <w:pPr>
              <w:tabs>
                <w:tab w:val="left" w:pos="1470"/>
              </w:tabs>
              <w:adjustRightInd w:val="0"/>
              <w:snapToGrid w:val="0"/>
              <w:spacing w:before="120" w:line="380" w:lineRule="exact"/>
              <w:rPr>
                <w:rFonts w:ascii="仿宋" w:hAnsi="仿宋" w:eastAsia="仿宋" w:cs="黑体"/>
                <w:sz w:val="24"/>
              </w:rPr>
            </w:pPr>
            <w:r>
              <w:rPr>
                <w:rFonts w:hint="eastAsia" w:ascii="仿宋" w:hAnsi="仿宋" w:eastAsia="仿宋" w:cs="黑体"/>
                <w:sz w:val="24"/>
              </w:rPr>
              <w:t>酒店外围绿化带</w:t>
            </w:r>
            <w:r>
              <w:rPr>
                <w:rFonts w:ascii="仿宋" w:hAnsi="仿宋" w:eastAsia="仿宋" w:cs="黑体"/>
                <w:sz w:val="24"/>
              </w:rPr>
              <w:t>/建筑外围</w:t>
            </w:r>
          </w:p>
        </w:tc>
        <w:tc>
          <w:tcPr>
            <w:tcW w:w="1752" w:type="pct"/>
            <w:tcBorders>
              <w:top w:val="single" w:color="auto" w:sz="4" w:space="0"/>
              <w:left w:val="single" w:color="auto" w:sz="4" w:space="0"/>
              <w:bottom w:val="single" w:color="auto" w:sz="4" w:space="0"/>
              <w:right w:val="double" w:color="auto" w:sz="4" w:space="0"/>
            </w:tcBorders>
            <w:vAlign w:val="center"/>
          </w:tcPr>
          <w:p w14:paraId="444E13A7">
            <w:pPr>
              <w:tabs>
                <w:tab w:val="left" w:pos="1470"/>
              </w:tabs>
              <w:adjustRightInd w:val="0"/>
              <w:snapToGrid w:val="0"/>
              <w:spacing w:before="120" w:line="380" w:lineRule="exact"/>
              <w:rPr>
                <w:rFonts w:ascii="仿宋" w:hAnsi="仿宋" w:eastAsia="仿宋" w:cs="黑体"/>
                <w:sz w:val="24"/>
              </w:rPr>
            </w:pPr>
            <w:r>
              <w:rPr>
                <w:rFonts w:hint="eastAsia" w:ascii="仿宋" w:hAnsi="仿宋" w:eastAsia="仿宋" w:cs="黑体"/>
                <w:sz w:val="24"/>
              </w:rPr>
              <w:t>全面处理</w:t>
            </w:r>
            <w:r>
              <w:rPr>
                <w:rFonts w:ascii="仿宋" w:hAnsi="仿宋" w:eastAsia="仿宋" w:cs="黑体"/>
                <w:sz w:val="24"/>
              </w:rPr>
              <w:t>4次/月</w:t>
            </w:r>
          </w:p>
        </w:tc>
      </w:tr>
      <w:tr w14:paraId="444E13AC">
        <w:tblPrEx>
          <w:tblCellMar>
            <w:top w:w="0" w:type="dxa"/>
            <w:left w:w="108" w:type="dxa"/>
            <w:bottom w:w="0" w:type="dxa"/>
            <w:right w:w="108" w:type="dxa"/>
          </w:tblCellMar>
        </w:tblPrEx>
        <w:trPr>
          <w:trHeight w:val="465" w:hRule="atLeast"/>
        </w:trPr>
        <w:tc>
          <w:tcPr>
            <w:tcW w:w="1022" w:type="pct"/>
            <w:tcBorders>
              <w:left w:val="double" w:color="auto" w:sz="4" w:space="0"/>
              <w:bottom w:val="single" w:color="auto" w:sz="4" w:space="0"/>
              <w:right w:val="single" w:color="auto" w:sz="4" w:space="0"/>
            </w:tcBorders>
            <w:vAlign w:val="center"/>
          </w:tcPr>
          <w:p w14:paraId="444E13A9">
            <w:pPr>
              <w:tabs>
                <w:tab w:val="left" w:pos="1470"/>
              </w:tabs>
              <w:adjustRightInd w:val="0"/>
              <w:snapToGrid w:val="0"/>
              <w:spacing w:before="120" w:line="380" w:lineRule="exact"/>
              <w:rPr>
                <w:rFonts w:ascii="仿宋" w:hAnsi="仿宋" w:eastAsia="仿宋" w:cs="黑体"/>
                <w:sz w:val="24"/>
              </w:rPr>
            </w:pPr>
            <w:r>
              <w:rPr>
                <w:rFonts w:hint="eastAsia" w:ascii="仿宋" w:hAnsi="仿宋" w:eastAsia="仿宋" w:cs="黑体"/>
                <w:sz w:val="24"/>
              </w:rPr>
              <w:t>健身中心</w:t>
            </w:r>
          </w:p>
        </w:tc>
        <w:tc>
          <w:tcPr>
            <w:tcW w:w="2226" w:type="pct"/>
            <w:tcBorders>
              <w:top w:val="single" w:color="auto" w:sz="4" w:space="0"/>
              <w:left w:val="single" w:color="auto" w:sz="4" w:space="0"/>
              <w:bottom w:val="single" w:color="auto" w:sz="4" w:space="0"/>
              <w:right w:val="single" w:color="auto" w:sz="4" w:space="0"/>
            </w:tcBorders>
            <w:vAlign w:val="center"/>
          </w:tcPr>
          <w:p w14:paraId="444E13AA">
            <w:pPr>
              <w:tabs>
                <w:tab w:val="left" w:pos="1470"/>
              </w:tabs>
              <w:adjustRightInd w:val="0"/>
              <w:snapToGrid w:val="0"/>
              <w:spacing w:before="120" w:line="380" w:lineRule="exact"/>
              <w:rPr>
                <w:rFonts w:ascii="仿宋" w:hAnsi="仿宋" w:eastAsia="仿宋" w:cs="黑体"/>
                <w:sz w:val="24"/>
              </w:rPr>
            </w:pPr>
            <w:r>
              <w:rPr>
                <w:rFonts w:hint="eastAsia" w:ascii="仿宋" w:hAnsi="仿宋" w:eastAsia="仿宋" w:cs="黑体"/>
                <w:sz w:val="24"/>
              </w:rPr>
              <w:t>健身中心</w:t>
            </w:r>
            <w:r>
              <w:rPr>
                <w:rFonts w:ascii="仿宋" w:hAnsi="仿宋" w:eastAsia="仿宋" w:cs="黑体"/>
                <w:sz w:val="24"/>
              </w:rPr>
              <w:t>/游泳池/更衣室</w:t>
            </w:r>
          </w:p>
        </w:tc>
        <w:tc>
          <w:tcPr>
            <w:tcW w:w="1752" w:type="pct"/>
            <w:tcBorders>
              <w:top w:val="single" w:color="auto" w:sz="4" w:space="0"/>
              <w:left w:val="single" w:color="auto" w:sz="4" w:space="0"/>
              <w:bottom w:val="single" w:color="auto" w:sz="4" w:space="0"/>
              <w:right w:val="double" w:color="auto" w:sz="4" w:space="0"/>
            </w:tcBorders>
            <w:vAlign w:val="center"/>
          </w:tcPr>
          <w:p w14:paraId="444E13AB">
            <w:pPr>
              <w:tabs>
                <w:tab w:val="left" w:pos="1470"/>
              </w:tabs>
              <w:adjustRightInd w:val="0"/>
              <w:snapToGrid w:val="0"/>
              <w:spacing w:before="120" w:line="380" w:lineRule="exact"/>
              <w:rPr>
                <w:rFonts w:ascii="仿宋" w:hAnsi="仿宋" w:eastAsia="仿宋" w:cs="黑体"/>
                <w:sz w:val="24"/>
              </w:rPr>
            </w:pPr>
            <w:r>
              <w:rPr>
                <w:rFonts w:hint="eastAsia" w:ascii="仿宋" w:hAnsi="仿宋" w:eastAsia="仿宋" w:cs="黑体"/>
                <w:sz w:val="24"/>
              </w:rPr>
              <w:t>全面检查</w:t>
            </w:r>
            <w:r>
              <w:rPr>
                <w:rFonts w:ascii="仿宋" w:hAnsi="仿宋" w:eastAsia="仿宋" w:cs="黑体"/>
                <w:sz w:val="24"/>
              </w:rPr>
              <w:t>/处理1次/周</w:t>
            </w:r>
          </w:p>
        </w:tc>
      </w:tr>
      <w:tr w14:paraId="444E13B0">
        <w:tblPrEx>
          <w:tblCellMar>
            <w:top w:w="0" w:type="dxa"/>
            <w:left w:w="108" w:type="dxa"/>
            <w:bottom w:w="0" w:type="dxa"/>
            <w:right w:w="108" w:type="dxa"/>
          </w:tblCellMar>
        </w:tblPrEx>
        <w:trPr>
          <w:trHeight w:val="513" w:hRule="atLeast"/>
        </w:trPr>
        <w:tc>
          <w:tcPr>
            <w:tcW w:w="1022" w:type="pct"/>
            <w:tcBorders>
              <w:top w:val="single" w:color="auto" w:sz="4" w:space="0"/>
              <w:left w:val="double" w:color="auto" w:sz="4" w:space="0"/>
              <w:bottom w:val="single" w:color="auto" w:sz="4" w:space="0"/>
              <w:right w:val="single" w:color="auto" w:sz="4" w:space="0"/>
            </w:tcBorders>
            <w:vAlign w:val="center"/>
          </w:tcPr>
          <w:p w14:paraId="444E13AD">
            <w:pPr>
              <w:tabs>
                <w:tab w:val="left" w:pos="1470"/>
              </w:tabs>
              <w:adjustRightInd w:val="0"/>
              <w:snapToGrid w:val="0"/>
              <w:spacing w:before="120" w:line="380" w:lineRule="exact"/>
              <w:rPr>
                <w:rFonts w:ascii="仿宋" w:hAnsi="仿宋" w:eastAsia="仿宋" w:cs="黑体"/>
                <w:sz w:val="24"/>
              </w:rPr>
            </w:pPr>
            <w:r>
              <w:rPr>
                <w:rFonts w:hint="eastAsia" w:ascii="仿宋" w:hAnsi="仿宋" w:eastAsia="仿宋" w:cs="黑体"/>
                <w:sz w:val="24"/>
              </w:rPr>
              <w:t>厨房餐厅区域</w:t>
            </w:r>
          </w:p>
        </w:tc>
        <w:tc>
          <w:tcPr>
            <w:tcW w:w="2226" w:type="pct"/>
            <w:tcBorders>
              <w:top w:val="single" w:color="auto" w:sz="4" w:space="0"/>
              <w:left w:val="single" w:color="auto" w:sz="4" w:space="0"/>
              <w:bottom w:val="single" w:color="auto" w:sz="4" w:space="0"/>
              <w:right w:val="single" w:color="auto" w:sz="4" w:space="0"/>
            </w:tcBorders>
            <w:vAlign w:val="center"/>
          </w:tcPr>
          <w:p w14:paraId="444E13AE">
            <w:pPr>
              <w:tabs>
                <w:tab w:val="left" w:pos="1470"/>
              </w:tabs>
              <w:adjustRightInd w:val="0"/>
              <w:snapToGrid w:val="0"/>
              <w:spacing w:line="380" w:lineRule="exact"/>
              <w:rPr>
                <w:rFonts w:ascii="仿宋" w:hAnsi="仿宋" w:eastAsia="仿宋" w:cs="黑体"/>
                <w:sz w:val="24"/>
              </w:rPr>
            </w:pPr>
            <w:r>
              <w:rPr>
                <w:rFonts w:hint="eastAsia" w:ascii="仿宋" w:hAnsi="仿宋" w:eastAsia="仿宋" w:cs="黑体"/>
                <w:sz w:val="24"/>
              </w:rPr>
              <w:t>厨房干货库</w:t>
            </w:r>
            <w:r>
              <w:rPr>
                <w:rFonts w:ascii="仿宋" w:hAnsi="仿宋" w:eastAsia="仿宋" w:cs="黑体"/>
                <w:sz w:val="24"/>
              </w:rPr>
              <w:t>/中西厨房餐厅/咖啡厅/洗碗间/送餐部/酒吧/员工厨</w:t>
            </w:r>
            <w:r>
              <w:rPr>
                <w:rFonts w:hint="eastAsia" w:ascii="仿宋" w:hAnsi="仿宋" w:eastAsia="仿宋" w:cs="黑体"/>
                <w:sz w:val="24"/>
              </w:rPr>
              <w:t>房餐厅</w:t>
            </w:r>
          </w:p>
        </w:tc>
        <w:tc>
          <w:tcPr>
            <w:tcW w:w="1752" w:type="pct"/>
            <w:tcBorders>
              <w:top w:val="single" w:color="auto" w:sz="4" w:space="0"/>
              <w:left w:val="single" w:color="auto" w:sz="4" w:space="0"/>
              <w:bottom w:val="single" w:color="auto" w:sz="4" w:space="0"/>
              <w:right w:val="double" w:color="auto" w:sz="4" w:space="0"/>
            </w:tcBorders>
            <w:vAlign w:val="center"/>
          </w:tcPr>
          <w:p w14:paraId="444E13AF">
            <w:pPr>
              <w:tabs>
                <w:tab w:val="left" w:pos="1470"/>
              </w:tabs>
              <w:adjustRightInd w:val="0"/>
              <w:snapToGrid w:val="0"/>
              <w:spacing w:before="120" w:line="380" w:lineRule="exact"/>
              <w:rPr>
                <w:rFonts w:ascii="仿宋" w:hAnsi="仿宋" w:eastAsia="仿宋" w:cs="黑体"/>
                <w:sz w:val="24"/>
              </w:rPr>
            </w:pPr>
            <w:r>
              <w:rPr>
                <w:rFonts w:hint="eastAsia" w:ascii="仿宋" w:hAnsi="仿宋" w:eastAsia="仿宋" w:cs="黑体"/>
                <w:sz w:val="24"/>
              </w:rPr>
              <w:t>全面检查</w:t>
            </w:r>
            <w:r>
              <w:rPr>
                <w:rFonts w:ascii="仿宋" w:hAnsi="仿宋" w:eastAsia="仿宋" w:cs="黑体"/>
                <w:sz w:val="24"/>
              </w:rPr>
              <w:t>/处理1次/周</w:t>
            </w:r>
          </w:p>
        </w:tc>
      </w:tr>
      <w:tr w14:paraId="444E13B4">
        <w:tblPrEx>
          <w:tblCellMar>
            <w:top w:w="0" w:type="dxa"/>
            <w:left w:w="108" w:type="dxa"/>
            <w:bottom w:w="0" w:type="dxa"/>
            <w:right w:w="108" w:type="dxa"/>
          </w:tblCellMar>
        </w:tblPrEx>
        <w:trPr>
          <w:trHeight w:val="513" w:hRule="atLeast"/>
        </w:trPr>
        <w:tc>
          <w:tcPr>
            <w:tcW w:w="1022" w:type="pct"/>
            <w:tcBorders>
              <w:top w:val="single" w:color="auto" w:sz="4" w:space="0"/>
              <w:left w:val="double" w:color="auto" w:sz="4" w:space="0"/>
              <w:bottom w:val="single" w:color="auto" w:sz="4" w:space="0"/>
              <w:right w:val="single" w:color="auto" w:sz="4" w:space="0"/>
            </w:tcBorders>
            <w:vAlign w:val="center"/>
          </w:tcPr>
          <w:p w14:paraId="444E13B1">
            <w:pPr>
              <w:tabs>
                <w:tab w:val="left" w:pos="1470"/>
              </w:tabs>
              <w:adjustRightInd w:val="0"/>
              <w:snapToGrid w:val="0"/>
              <w:spacing w:before="120" w:line="380" w:lineRule="exact"/>
              <w:rPr>
                <w:rFonts w:ascii="仿宋" w:hAnsi="仿宋" w:eastAsia="仿宋" w:cs="黑体"/>
                <w:sz w:val="24"/>
              </w:rPr>
            </w:pPr>
            <w:r>
              <w:rPr>
                <w:rFonts w:hint="eastAsia" w:ascii="仿宋" w:hAnsi="仿宋" w:eastAsia="仿宋" w:cs="黑体"/>
                <w:sz w:val="24"/>
              </w:rPr>
              <w:t>员工宿舍</w:t>
            </w:r>
          </w:p>
        </w:tc>
        <w:tc>
          <w:tcPr>
            <w:tcW w:w="2226" w:type="pct"/>
            <w:tcBorders>
              <w:top w:val="single" w:color="auto" w:sz="4" w:space="0"/>
              <w:left w:val="single" w:color="auto" w:sz="4" w:space="0"/>
              <w:bottom w:val="single" w:color="auto" w:sz="4" w:space="0"/>
              <w:right w:val="single" w:color="auto" w:sz="4" w:space="0"/>
            </w:tcBorders>
            <w:vAlign w:val="center"/>
          </w:tcPr>
          <w:p w14:paraId="444E13B2">
            <w:pPr>
              <w:tabs>
                <w:tab w:val="left" w:pos="1470"/>
              </w:tabs>
              <w:adjustRightInd w:val="0"/>
              <w:snapToGrid w:val="0"/>
              <w:spacing w:before="120" w:line="380" w:lineRule="exact"/>
              <w:rPr>
                <w:rFonts w:ascii="仿宋" w:hAnsi="仿宋" w:eastAsia="仿宋" w:cs="黑体"/>
                <w:sz w:val="24"/>
              </w:rPr>
            </w:pPr>
            <w:r>
              <w:rPr>
                <w:rFonts w:hint="eastAsia" w:ascii="仿宋" w:hAnsi="仿宋" w:eastAsia="仿宋" w:cs="黑体"/>
                <w:sz w:val="24"/>
              </w:rPr>
              <w:t>员工倒班宿舍</w:t>
            </w:r>
          </w:p>
        </w:tc>
        <w:tc>
          <w:tcPr>
            <w:tcW w:w="1752" w:type="pct"/>
            <w:tcBorders>
              <w:top w:val="single" w:color="auto" w:sz="4" w:space="0"/>
              <w:left w:val="single" w:color="auto" w:sz="4" w:space="0"/>
              <w:bottom w:val="single" w:color="auto" w:sz="4" w:space="0"/>
              <w:right w:val="double" w:color="auto" w:sz="4" w:space="0"/>
            </w:tcBorders>
            <w:vAlign w:val="center"/>
          </w:tcPr>
          <w:p w14:paraId="444E13B3">
            <w:pPr>
              <w:tabs>
                <w:tab w:val="left" w:pos="1470"/>
              </w:tabs>
              <w:adjustRightInd w:val="0"/>
              <w:snapToGrid w:val="0"/>
              <w:spacing w:before="120" w:line="380" w:lineRule="exact"/>
              <w:rPr>
                <w:rFonts w:ascii="仿宋" w:hAnsi="仿宋" w:eastAsia="仿宋" w:cs="黑体"/>
                <w:sz w:val="24"/>
              </w:rPr>
            </w:pPr>
            <w:r>
              <w:rPr>
                <w:rFonts w:hint="eastAsia" w:ascii="仿宋" w:hAnsi="仿宋" w:eastAsia="仿宋" w:cs="黑体"/>
                <w:sz w:val="24"/>
              </w:rPr>
              <w:t>全面检查</w:t>
            </w:r>
            <w:r>
              <w:rPr>
                <w:rFonts w:ascii="仿宋" w:hAnsi="仿宋" w:eastAsia="仿宋" w:cs="黑体"/>
                <w:sz w:val="24"/>
              </w:rPr>
              <w:t xml:space="preserve"> /处理1次/月</w:t>
            </w:r>
          </w:p>
        </w:tc>
      </w:tr>
      <w:tr w14:paraId="444E13B8">
        <w:tblPrEx>
          <w:tblCellMar>
            <w:top w:w="0" w:type="dxa"/>
            <w:left w:w="108" w:type="dxa"/>
            <w:bottom w:w="0" w:type="dxa"/>
            <w:right w:w="108" w:type="dxa"/>
          </w:tblCellMar>
        </w:tblPrEx>
        <w:trPr>
          <w:trHeight w:val="513" w:hRule="atLeast"/>
        </w:trPr>
        <w:tc>
          <w:tcPr>
            <w:tcW w:w="1022" w:type="pct"/>
            <w:tcBorders>
              <w:top w:val="single" w:color="auto" w:sz="4" w:space="0"/>
              <w:left w:val="double" w:color="auto" w:sz="4" w:space="0"/>
              <w:bottom w:val="single" w:color="auto" w:sz="4" w:space="0"/>
              <w:right w:val="single" w:color="auto" w:sz="4" w:space="0"/>
            </w:tcBorders>
            <w:vAlign w:val="center"/>
          </w:tcPr>
          <w:p w14:paraId="444E13B5">
            <w:pPr>
              <w:tabs>
                <w:tab w:val="left" w:pos="1470"/>
              </w:tabs>
              <w:adjustRightInd w:val="0"/>
              <w:snapToGrid w:val="0"/>
              <w:spacing w:before="120" w:line="380" w:lineRule="exact"/>
              <w:rPr>
                <w:rFonts w:ascii="仿宋" w:hAnsi="仿宋" w:eastAsia="仿宋" w:cs="黑体"/>
                <w:sz w:val="24"/>
              </w:rPr>
            </w:pPr>
            <w:r>
              <w:rPr>
                <w:rFonts w:hint="eastAsia" w:ascii="仿宋" w:hAnsi="仿宋" w:eastAsia="仿宋" w:cs="黑体"/>
                <w:sz w:val="24"/>
              </w:rPr>
              <w:t>办公室</w:t>
            </w:r>
          </w:p>
        </w:tc>
        <w:tc>
          <w:tcPr>
            <w:tcW w:w="2226" w:type="pct"/>
            <w:tcBorders>
              <w:top w:val="single" w:color="auto" w:sz="4" w:space="0"/>
              <w:left w:val="single" w:color="auto" w:sz="4" w:space="0"/>
              <w:bottom w:val="single" w:color="auto" w:sz="4" w:space="0"/>
              <w:right w:val="single" w:color="auto" w:sz="4" w:space="0"/>
            </w:tcBorders>
            <w:vAlign w:val="center"/>
          </w:tcPr>
          <w:p w14:paraId="444E13B6">
            <w:pPr>
              <w:tabs>
                <w:tab w:val="left" w:pos="1470"/>
              </w:tabs>
              <w:adjustRightInd w:val="0"/>
              <w:snapToGrid w:val="0"/>
              <w:spacing w:before="120" w:line="380" w:lineRule="exact"/>
              <w:rPr>
                <w:rFonts w:ascii="仿宋" w:hAnsi="仿宋" w:eastAsia="仿宋" w:cs="黑体"/>
                <w:sz w:val="24"/>
              </w:rPr>
            </w:pPr>
            <w:r>
              <w:rPr>
                <w:rFonts w:hint="eastAsia" w:ascii="仿宋" w:hAnsi="仿宋" w:eastAsia="仿宋" w:cs="黑体"/>
                <w:sz w:val="24"/>
              </w:rPr>
              <w:t>行政办公室</w:t>
            </w:r>
            <w:r>
              <w:rPr>
                <w:rFonts w:ascii="仿宋" w:hAnsi="仿宋" w:eastAsia="仿宋" w:cs="黑体"/>
                <w:sz w:val="24"/>
              </w:rPr>
              <w:t>/各区域办公室</w:t>
            </w:r>
          </w:p>
        </w:tc>
        <w:tc>
          <w:tcPr>
            <w:tcW w:w="1752" w:type="pct"/>
            <w:tcBorders>
              <w:top w:val="single" w:color="auto" w:sz="4" w:space="0"/>
              <w:left w:val="single" w:color="auto" w:sz="4" w:space="0"/>
              <w:bottom w:val="single" w:color="auto" w:sz="4" w:space="0"/>
              <w:right w:val="double" w:color="auto" w:sz="4" w:space="0"/>
            </w:tcBorders>
            <w:vAlign w:val="center"/>
          </w:tcPr>
          <w:p w14:paraId="444E13B7">
            <w:pPr>
              <w:tabs>
                <w:tab w:val="left" w:pos="1470"/>
              </w:tabs>
              <w:adjustRightInd w:val="0"/>
              <w:snapToGrid w:val="0"/>
              <w:spacing w:before="120" w:line="380" w:lineRule="exact"/>
              <w:rPr>
                <w:rFonts w:ascii="仿宋" w:hAnsi="仿宋" w:eastAsia="仿宋" w:cs="黑体"/>
                <w:sz w:val="24"/>
              </w:rPr>
            </w:pPr>
            <w:r>
              <w:rPr>
                <w:rFonts w:hint="eastAsia" w:ascii="仿宋" w:hAnsi="仿宋" w:eastAsia="仿宋" w:cs="黑体"/>
                <w:sz w:val="24"/>
              </w:rPr>
              <w:t>全面检查</w:t>
            </w:r>
            <w:r>
              <w:rPr>
                <w:rFonts w:ascii="仿宋" w:hAnsi="仿宋" w:eastAsia="仿宋" w:cs="黑体"/>
                <w:sz w:val="24"/>
              </w:rPr>
              <w:t xml:space="preserve"> /处理1次/月</w:t>
            </w:r>
          </w:p>
        </w:tc>
      </w:tr>
      <w:tr w14:paraId="444E13BC">
        <w:tblPrEx>
          <w:tblCellMar>
            <w:top w:w="0" w:type="dxa"/>
            <w:left w:w="108" w:type="dxa"/>
            <w:bottom w:w="0" w:type="dxa"/>
            <w:right w:w="108" w:type="dxa"/>
          </w:tblCellMar>
        </w:tblPrEx>
        <w:trPr>
          <w:trHeight w:val="609" w:hRule="atLeast"/>
        </w:trPr>
        <w:tc>
          <w:tcPr>
            <w:tcW w:w="1022" w:type="pct"/>
            <w:tcBorders>
              <w:top w:val="single" w:color="auto" w:sz="4" w:space="0"/>
              <w:left w:val="double" w:color="auto" w:sz="4" w:space="0"/>
              <w:bottom w:val="single" w:color="auto" w:sz="4" w:space="0"/>
              <w:right w:val="single" w:color="auto" w:sz="4" w:space="0"/>
            </w:tcBorders>
            <w:vAlign w:val="center"/>
          </w:tcPr>
          <w:p w14:paraId="444E13B9">
            <w:pPr>
              <w:tabs>
                <w:tab w:val="left" w:pos="1470"/>
              </w:tabs>
              <w:adjustRightInd w:val="0"/>
              <w:snapToGrid w:val="0"/>
              <w:spacing w:before="120" w:line="380" w:lineRule="exact"/>
              <w:rPr>
                <w:rFonts w:ascii="仿宋" w:hAnsi="仿宋" w:eastAsia="仿宋" w:cs="黑体"/>
                <w:sz w:val="24"/>
              </w:rPr>
            </w:pPr>
            <w:r>
              <w:rPr>
                <w:rFonts w:ascii="仿宋" w:hAnsi="仿宋" w:eastAsia="仿宋" w:cs="黑体"/>
                <w:sz w:val="24"/>
              </w:rPr>
              <w:t>B1F/B2F</w:t>
            </w:r>
          </w:p>
        </w:tc>
        <w:tc>
          <w:tcPr>
            <w:tcW w:w="2226" w:type="pct"/>
            <w:tcBorders>
              <w:top w:val="single" w:color="auto" w:sz="4" w:space="0"/>
              <w:left w:val="single" w:color="auto" w:sz="4" w:space="0"/>
              <w:bottom w:val="single" w:color="auto" w:sz="4" w:space="0"/>
              <w:right w:val="single" w:color="auto" w:sz="4" w:space="0"/>
            </w:tcBorders>
            <w:vAlign w:val="center"/>
          </w:tcPr>
          <w:p w14:paraId="444E13BA">
            <w:pPr>
              <w:tabs>
                <w:tab w:val="left" w:pos="1470"/>
              </w:tabs>
              <w:adjustRightInd w:val="0"/>
              <w:snapToGrid w:val="0"/>
              <w:spacing w:line="380" w:lineRule="exact"/>
              <w:rPr>
                <w:rFonts w:ascii="仿宋" w:hAnsi="仿宋" w:eastAsia="仿宋" w:cs="黑体"/>
                <w:sz w:val="24"/>
              </w:rPr>
            </w:pPr>
            <w:r>
              <w:rPr>
                <w:rFonts w:hint="eastAsia" w:ascii="仿宋" w:hAnsi="仿宋" w:eastAsia="仿宋" w:cs="黑体"/>
                <w:sz w:val="24"/>
              </w:rPr>
              <w:t>仓库</w:t>
            </w:r>
            <w:r>
              <w:rPr>
                <w:rFonts w:ascii="仿宋" w:hAnsi="仿宋" w:eastAsia="仿宋" w:cs="黑体"/>
                <w:sz w:val="24"/>
              </w:rPr>
              <w:t>/培训教室/员工更衣室/倒班宿</w:t>
            </w:r>
            <w:r>
              <w:rPr>
                <w:rFonts w:hint="eastAsia" w:ascii="仿宋" w:hAnsi="仿宋" w:eastAsia="仿宋"/>
                <w:color w:val="000000"/>
                <w:kern w:val="0"/>
                <w:sz w:val="24"/>
                <w:shd w:val="clear" w:color="auto" w:fill="FFFFFF"/>
              </w:rPr>
              <w:t>舍</w:t>
            </w:r>
            <w:r>
              <w:rPr>
                <w:rFonts w:ascii="仿宋" w:hAnsi="仿宋" w:eastAsia="仿宋"/>
                <w:color w:val="000000"/>
                <w:kern w:val="0"/>
                <w:sz w:val="24"/>
                <w:shd w:val="clear" w:color="auto" w:fill="FFFFFF"/>
              </w:rPr>
              <w:t>/员工活动室 /集水井/冷冻机房/锅炉房/高低压配电房/发电机房/隔油池/污水井/设备夹层/热交换机房</w:t>
            </w:r>
          </w:p>
        </w:tc>
        <w:tc>
          <w:tcPr>
            <w:tcW w:w="1752" w:type="pct"/>
            <w:tcBorders>
              <w:top w:val="single" w:color="auto" w:sz="4" w:space="0"/>
              <w:left w:val="single" w:color="auto" w:sz="4" w:space="0"/>
              <w:bottom w:val="single" w:color="auto" w:sz="4" w:space="0"/>
              <w:right w:val="double" w:color="auto" w:sz="4" w:space="0"/>
            </w:tcBorders>
            <w:vAlign w:val="center"/>
          </w:tcPr>
          <w:p w14:paraId="444E13BB">
            <w:pPr>
              <w:tabs>
                <w:tab w:val="left" w:pos="1470"/>
              </w:tabs>
              <w:adjustRightInd w:val="0"/>
              <w:snapToGrid w:val="0"/>
              <w:spacing w:before="120" w:line="380" w:lineRule="exact"/>
              <w:rPr>
                <w:rFonts w:ascii="仿宋" w:hAnsi="仿宋" w:eastAsia="仿宋" w:cs="黑体"/>
                <w:sz w:val="24"/>
              </w:rPr>
            </w:pPr>
            <w:r>
              <w:rPr>
                <w:rFonts w:hint="eastAsia" w:ascii="仿宋" w:hAnsi="仿宋" w:eastAsia="仿宋" w:cs="黑体"/>
                <w:sz w:val="24"/>
              </w:rPr>
              <w:t>全面检查</w:t>
            </w:r>
            <w:r>
              <w:rPr>
                <w:rFonts w:ascii="仿宋" w:hAnsi="仿宋" w:eastAsia="仿宋" w:cs="黑体"/>
                <w:sz w:val="24"/>
              </w:rPr>
              <w:t>/处理1次/周</w:t>
            </w:r>
          </w:p>
        </w:tc>
      </w:tr>
      <w:tr w14:paraId="444E13C0">
        <w:tblPrEx>
          <w:tblCellMar>
            <w:top w:w="0" w:type="dxa"/>
            <w:left w:w="108" w:type="dxa"/>
            <w:bottom w:w="0" w:type="dxa"/>
            <w:right w:w="108" w:type="dxa"/>
          </w:tblCellMar>
        </w:tblPrEx>
        <w:trPr>
          <w:trHeight w:val="347" w:hRule="atLeast"/>
        </w:trPr>
        <w:tc>
          <w:tcPr>
            <w:tcW w:w="1022" w:type="pct"/>
            <w:vMerge w:val="restart"/>
            <w:tcBorders>
              <w:top w:val="single" w:color="auto" w:sz="4" w:space="0"/>
              <w:left w:val="double" w:color="auto" w:sz="4" w:space="0"/>
              <w:right w:val="single" w:color="auto" w:sz="4" w:space="0"/>
            </w:tcBorders>
            <w:vAlign w:val="center"/>
          </w:tcPr>
          <w:p w14:paraId="444E13BD">
            <w:pPr>
              <w:tabs>
                <w:tab w:val="left" w:pos="1470"/>
              </w:tabs>
              <w:adjustRightInd w:val="0"/>
              <w:snapToGrid w:val="0"/>
              <w:spacing w:before="120" w:line="380" w:lineRule="exact"/>
              <w:rPr>
                <w:rFonts w:ascii="仿宋" w:hAnsi="仿宋" w:eastAsia="仿宋" w:cs="黑体"/>
                <w:sz w:val="24"/>
              </w:rPr>
            </w:pPr>
            <w:r>
              <w:rPr>
                <w:rFonts w:hint="eastAsia" w:ascii="仿宋" w:hAnsi="仿宋" w:eastAsia="仿宋" w:cs="黑体"/>
                <w:sz w:val="24"/>
              </w:rPr>
              <w:t>服务设备</w:t>
            </w:r>
          </w:p>
        </w:tc>
        <w:tc>
          <w:tcPr>
            <w:tcW w:w="2226" w:type="pct"/>
            <w:tcBorders>
              <w:top w:val="single" w:color="auto" w:sz="4" w:space="0"/>
              <w:left w:val="single" w:color="auto" w:sz="4" w:space="0"/>
              <w:bottom w:val="single" w:color="auto" w:sz="4" w:space="0"/>
              <w:right w:val="single" w:color="auto" w:sz="4" w:space="0"/>
            </w:tcBorders>
            <w:vAlign w:val="center"/>
          </w:tcPr>
          <w:p w14:paraId="444E13BE">
            <w:pPr>
              <w:adjustRightInd w:val="0"/>
              <w:snapToGrid w:val="0"/>
              <w:spacing w:before="120" w:line="380" w:lineRule="exact"/>
              <w:rPr>
                <w:rFonts w:ascii="仿宋" w:hAnsi="仿宋" w:eastAsia="仿宋" w:cs="黑体"/>
                <w:sz w:val="24"/>
              </w:rPr>
            </w:pPr>
            <w:r>
              <w:rPr>
                <w:rFonts w:hint="eastAsia" w:ascii="仿宋" w:hAnsi="仿宋" w:eastAsia="仿宋" w:cs="黑体"/>
                <w:sz w:val="24"/>
              </w:rPr>
              <w:t>鼠控诱饵站，室内型吸蚊灯</w:t>
            </w:r>
          </w:p>
        </w:tc>
        <w:tc>
          <w:tcPr>
            <w:tcW w:w="1752" w:type="pct"/>
            <w:tcBorders>
              <w:top w:val="single" w:color="auto" w:sz="4" w:space="0"/>
              <w:left w:val="single" w:color="auto" w:sz="4" w:space="0"/>
              <w:bottom w:val="single" w:color="auto" w:sz="4" w:space="0"/>
              <w:right w:val="double" w:color="auto" w:sz="4" w:space="0"/>
            </w:tcBorders>
            <w:vAlign w:val="center"/>
          </w:tcPr>
          <w:p w14:paraId="444E13BF">
            <w:pPr>
              <w:tabs>
                <w:tab w:val="left" w:pos="1470"/>
              </w:tabs>
              <w:adjustRightInd w:val="0"/>
              <w:snapToGrid w:val="0"/>
              <w:spacing w:before="120" w:line="380" w:lineRule="exact"/>
              <w:rPr>
                <w:rFonts w:ascii="仿宋" w:hAnsi="仿宋" w:eastAsia="仿宋" w:cs="黑体"/>
                <w:sz w:val="24"/>
              </w:rPr>
            </w:pPr>
            <w:r>
              <w:rPr>
                <w:rFonts w:hint="eastAsia" w:ascii="仿宋" w:hAnsi="仿宋" w:eastAsia="仿宋" w:cs="黑体"/>
                <w:sz w:val="24"/>
              </w:rPr>
              <w:t>全面监测、维护</w:t>
            </w:r>
            <w:r>
              <w:rPr>
                <w:rFonts w:ascii="仿宋" w:hAnsi="仿宋" w:eastAsia="仿宋" w:cs="黑体"/>
                <w:sz w:val="24"/>
              </w:rPr>
              <w:t>4次/月</w:t>
            </w:r>
          </w:p>
        </w:tc>
      </w:tr>
      <w:tr w14:paraId="444E13C4">
        <w:tblPrEx>
          <w:tblCellMar>
            <w:top w:w="0" w:type="dxa"/>
            <w:left w:w="108" w:type="dxa"/>
            <w:bottom w:w="0" w:type="dxa"/>
            <w:right w:w="108" w:type="dxa"/>
          </w:tblCellMar>
        </w:tblPrEx>
        <w:trPr>
          <w:trHeight w:val="356" w:hRule="atLeast"/>
        </w:trPr>
        <w:tc>
          <w:tcPr>
            <w:tcW w:w="1022" w:type="pct"/>
            <w:vMerge w:val="continue"/>
            <w:tcBorders>
              <w:left w:val="double" w:color="auto" w:sz="4" w:space="0"/>
              <w:bottom w:val="single" w:color="auto" w:sz="4" w:space="0"/>
              <w:right w:val="single" w:color="auto" w:sz="4" w:space="0"/>
            </w:tcBorders>
            <w:vAlign w:val="center"/>
          </w:tcPr>
          <w:p w14:paraId="444E13C1">
            <w:pPr>
              <w:tabs>
                <w:tab w:val="left" w:pos="1470"/>
              </w:tabs>
              <w:adjustRightInd w:val="0"/>
              <w:snapToGrid w:val="0"/>
              <w:spacing w:before="120" w:line="380" w:lineRule="exact"/>
              <w:rPr>
                <w:rFonts w:ascii="仿宋" w:hAnsi="仿宋" w:eastAsia="仿宋" w:cs="黑体"/>
                <w:sz w:val="24"/>
              </w:rPr>
            </w:pPr>
          </w:p>
        </w:tc>
        <w:tc>
          <w:tcPr>
            <w:tcW w:w="2226" w:type="pct"/>
            <w:tcBorders>
              <w:top w:val="single" w:color="auto" w:sz="4" w:space="0"/>
              <w:left w:val="single" w:color="auto" w:sz="4" w:space="0"/>
              <w:bottom w:val="single" w:color="auto" w:sz="4" w:space="0"/>
              <w:right w:val="single" w:color="auto" w:sz="4" w:space="0"/>
            </w:tcBorders>
            <w:vAlign w:val="center"/>
          </w:tcPr>
          <w:p w14:paraId="444E13C2">
            <w:pPr>
              <w:adjustRightInd w:val="0"/>
              <w:snapToGrid w:val="0"/>
              <w:spacing w:before="120" w:line="380" w:lineRule="exact"/>
              <w:rPr>
                <w:rFonts w:ascii="仿宋" w:hAnsi="仿宋" w:eastAsia="仿宋" w:cs="黑体"/>
                <w:sz w:val="24"/>
              </w:rPr>
            </w:pPr>
            <w:r>
              <w:rPr>
                <w:rFonts w:hint="eastAsia" w:ascii="仿宋" w:hAnsi="仿宋" w:eastAsia="仿宋" w:cs="黑体"/>
                <w:sz w:val="24"/>
              </w:rPr>
              <w:t>卫捕士</w:t>
            </w:r>
            <w:r>
              <w:rPr>
                <w:rFonts w:ascii="仿宋" w:hAnsi="仿宋" w:eastAsia="仿宋" w:cs="黑体"/>
                <w:sz w:val="24"/>
              </w:rPr>
              <w:t xml:space="preserve">J27 </w:t>
            </w:r>
            <w:r>
              <w:rPr>
                <w:rFonts w:hint="eastAsia" w:ascii="仿宋" w:hAnsi="仿宋" w:eastAsia="仿宋" w:cs="黑体"/>
                <w:sz w:val="24"/>
              </w:rPr>
              <w:t>粘捕式捕蝇灯</w:t>
            </w:r>
          </w:p>
        </w:tc>
        <w:tc>
          <w:tcPr>
            <w:tcW w:w="1752" w:type="pct"/>
            <w:tcBorders>
              <w:top w:val="single" w:color="auto" w:sz="4" w:space="0"/>
              <w:left w:val="single" w:color="auto" w:sz="4" w:space="0"/>
              <w:bottom w:val="single" w:color="auto" w:sz="4" w:space="0"/>
              <w:right w:val="double" w:color="auto" w:sz="4" w:space="0"/>
            </w:tcBorders>
            <w:vAlign w:val="center"/>
          </w:tcPr>
          <w:p w14:paraId="444E13C3">
            <w:pPr>
              <w:tabs>
                <w:tab w:val="left" w:pos="1470"/>
              </w:tabs>
              <w:adjustRightInd w:val="0"/>
              <w:snapToGrid w:val="0"/>
              <w:spacing w:before="120" w:line="380" w:lineRule="exact"/>
              <w:rPr>
                <w:rFonts w:ascii="仿宋" w:hAnsi="仿宋" w:eastAsia="仿宋" w:cs="黑体"/>
                <w:sz w:val="24"/>
              </w:rPr>
            </w:pPr>
            <w:r>
              <w:rPr>
                <w:rFonts w:hint="eastAsia" w:ascii="仿宋" w:hAnsi="仿宋" w:eastAsia="仿宋" w:cs="黑体"/>
                <w:sz w:val="24"/>
              </w:rPr>
              <w:t>全面处理</w:t>
            </w:r>
            <w:r>
              <w:rPr>
                <w:rFonts w:ascii="仿宋" w:hAnsi="仿宋" w:eastAsia="仿宋" w:cs="黑体"/>
                <w:sz w:val="24"/>
              </w:rPr>
              <w:t>4次/月</w:t>
            </w:r>
          </w:p>
        </w:tc>
      </w:tr>
    </w:tbl>
    <w:p w14:paraId="444E13C6">
      <w:pPr>
        <w:widowControl/>
        <w:snapToGrid w:val="0"/>
        <w:spacing w:line="400" w:lineRule="exact"/>
        <w:ind w:firstLine="480" w:firstLineChars="200"/>
        <w:jc w:val="left"/>
        <w:rPr>
          <w:rFonts w:ascii="仿宋" w:hAnsi="仿宋" w:eastAsia="仿宋"/>
          <w:color w:val="333333"/>
          <w:kern w:val="0"/>
          <w:sz w:val="24"/>
        </w:rPr>
      </w:pPr>
      <w:r>
        <w:rPr>
          <w:rFonts w:hint="eastAsia" w:ascii="仿宋" w:hAnsi="仿宋" w:eastAsia="仿宋" w:cs="Arial"/>
          <w:kern w:val="0"/>
          <w:sz w:val="24"/>
        </w:rPr>
        <w:t>蚊蝇高发季节（</w:t>
      </w:r>
      <w:r>
        <w:rPr>
          <w:rFonts w:ascii="仿宋" w:hAnsi="仿宋" w:eastAsia="仿宋" w:cs="Arial"/>
          <w:kern w:val="0"/>
          <w:sz w:val="24"/>
        </w:rPr>
        <w:t>5月-10</w:t>
      </w:r>
      <w:r>
        <w:rPr>
          <w:rFonts w:hint="eastAsia" w:ascii="仿宋" w:hAnsi="仿宋" w:eastAsia="仿宋" w:cs="Arial"/>
          <w:kern w:val="0"/>
          <w:sz w:val="24"/>
        </w:rPr>
        <w:t>月），每月各项常规服务周期将每月增加一次，不额外收费。</w:t>
      </w:r>
    </w:p>
    <w:p w14:paraId="444E13C7">
      <w:pPr>
        <w:widowControl/>
        <w:spacing w:after="200" w:line="400" w:lineRule="exact"/>
        <w:jc w:val="left"/>
        <w:rPr>
          <w:rFonts w:ascii="仿宋" w:hAnsi="仿宋" w:eastAsia="仿宋"/>
          <w:color w:val="000000"/>
          <w:kern w:val="0"/>
          <w:sz w:val="24"/>
        </w:rPr>
      </w:pPr>
      <w:r>
        <w:rPr>
          <w:rFonts w:hint="eastAsia" w:ascii="仿宋" w:hAnsi="仿宋" w:eastAsia="仿宋"/>
          <w:color w:val="000000"/>
          <w:kern w:val="0"/>
          <w:sz w:val="24"/>
        </w:rPr>
        <w:t>1.</w:t>
      </w:r>
      <w:r>
        <w:rPr>
          <w:rFonts w:ascii="仿宋" w:hAnsi="仿宋" w:eastAsia="仿宋"/>
          <w:color w:val="000000"/>
          <w:kern w:val="0"/>
          <w:sz w:val="24"/>
        </w:rPr>
        <w:t>3</w:t>
      </w:r>
      <w:r>
        <w:rPr>
          <w:rFonts w:hint="eastAsia" w:ascii="仿宋" w:hAnsi="仿宋" w:eastAsia="仿宋"/>
          <w:color w:val="000000"/>
          <w:kern w:val="0"/>
          <w:sz w:val="24"/>
        </w:rPr>
        <w:t xml:space="preserve"> 服务内容</w:t>
      </w:r>
    </w:p>
    <w:p w14:paraId="444E13C8">
      <w:pPr>
        <w:widowControl/>
        <w:spacing w:after="200" w:line="400" w:lineRule="exact"/>
        <w:ind w:firstLine="480" w:firstLineChars="200"/>
        <w:jc w:val="left"/>
        <w:rPr>
          <w:rFonts w:ascii="仿宋" w:hAnsi="仿宋" w:eastAsia="仿宋"/>
          <w:kern w:val="0"/>
          <w:sz w:val="24"/>
        </w:rPr>
      </w:pPr>
      <w:r>
        <w:rPr>
          <w:rFonts w:hint="eastAsia" w:ascii="仿宋" w:hAnsi="仿宋" w:eastAsia="仿宋"/>
          <w:kern w:val="0"/>
          <w:sz w:val="24"/>
        </w:rPr>
        <w:t>灭鼠类、灭蚊蝇及灭蟑螂防治处理等虫害的控制。户外园林区域防蛇入侵防治业务。</w:t>
      </w:r>
    </w:p>
    <w:p w14:paraId="444E13C9">
      <w:pPr>
        <w:widowControl/>
        <w:spacing w:after="200" w:line="400" w:lineRule="exact"/>
        <w:jc w:val="left"/>
        <w:rPr>
          <w:rFonts w:ascii="仿宋" w:hAnsi="仿宋" w:eastAsia="仿宋"/>
          <w:color w:val="000000"/>
          <w:kern w:val="0"/>
          <w:sz w:val="24"/>
        </w:rPr>
      </w:pPr>
      <w:r>
        <w:rPr>
          <w:rFonts w:hint="eastAsia" w:ascii="仿宋" w:hAnsi="仿宋" w:eastAsia="仿宋"/>
          <w:color w:val="000000"/>
          <w:kern w:val="0"/>
          <w:sz w:val="24"/>
        </w:rPr>
        <w:t>1.</w:t>
      </w:r>
      <w:r>
        <w:rPr>
          <w:rFonts w:ascii="仿宋" w:hAnsi="仿宋" w:eastAsia="仿宋"/>
          <w:color w:val="000000"/>
          <w:kern w:val="0"/>
          <w:sz w:val="24"/>
        </w:rPr>
        <w:t>4</w:t>
      </w:r>
      <w:r>
        <w:rPr>
          <w:rFonts w:hint="eastAsia" w:ascii="仿宋" w:hAnsi="仿宋" w:eastAsia="仿宋"/>
          <w:color w:val="000000"/>
          <w:kern w:val="0"/>
          <w:sz w:val="24"/>
        </w:rPr>
        <w:t xml:space="preserve"> 服务人数</w:t>
      </w:r>
    </w:p>
    <w:p w14:paraId="444E13CA">
      <w:pPr>
        <w:widowControl/>
        <w:spacing w:after="200" w:line="400" w:lineRule="exact"/>
        <w:ind w:firstLine="480" w:firstLineChars="200"/>
        <w:jc w:val="left"/>
        <w:rPr>
          <w:rFonts w:ascii="仿宋" w:hAnsi="仿宋" w:eastAsia="仿宋"/>
          <w:color w:val="000000"/>
          <w:kern w:val="0"/>
          <w:sz w:val="24"/>
          <w:shd w:val="clear" w:color="auto" w:fill="FFFFFF"/>
        </w:rPr>
      </w:pPr>
      <w:r>
        <w:rPr>
          <w:rFonts w:ascii="仿宋" w:hAnsi="仿宋" w:eastAsia="仿宋"/>
          <w:color w:val="000000"/>
          <w:kern w:val="0"/>
          <w:sz w:val="24"/>
          <w:shd w:val="clear" w:color="auto" w:fill="FFFFFF"/>
        </w:rPr>
        <w:t>由乙方</w:t>
      </w:r>
      <w:r>
        <w:rPr>
          <w:rFonts w:hint="eastAsia" w:ascii="仿宋" w:hAnsi="仿宋" w:eastAsia="仿宋"/>
          <w:color w:val="000000"/>
          <w:kern w:val="0"/>
          <w:sz w:val="24"/>
          <w:shd w:val="clear" w:color="auto" w:fill="FFFFFF"/>
        </w:rPr>
        <w:t>派遣【</w:t>
      </w:r>
      <w:r>
        <w:rPr>
          <w:rFonts w:ascii="仿宋" w:hAnsi="仿宋" w:eastAsia="仿宋"/>
          <w:color w:val="000000"/>
          <w:kern w:val="0"/>
          <w:sz w:val="24"/>
          <w:shd w:val="clear" w:color="auto" w:fill="FFFFFF"/>
        </w:rPr>
        <w:t>1</w:t>
      </w:r>
      <w:r>
        <w:rPr>
          <w:rFonts w:hint="eastAsia" w:ascii="仿宋" w:hAnsi="仿宋" w:eastAsia="仿宋"/>
          <w:color w:val="000000"/>
          <w:kern w:val="0"/>
          <w:sz w:val="24"/>
          <w:shd w:val="clear" w:color="auto" w:fill="FFFFFF"/>
        </w:rPr>
        <w:t>】名</w:t>
      </w:r>
      <w:r>
        <w:rPr>
          <w:rFonts w:ascii="仿宋" w:hAnsi="仿宋" w:eastAsia="仿宋"/>
          <w:color w:val="000000"/>
          <w:kern w:val="0"/>
          <w:sz w:val="24"/>
          <w:shd w:val="clear" w:color="auto" w:fill="FFFFFF"/>
        </w:rPr>
        <w:t>专业操作人员，为甲方提供约定服务范围内的有害生物防治</w:t>
      </w:r>
      <w:r>
        <w:rPr>
          <w:rFonts w:hint="eastAsia" w:ascii="仿宋" w:hAnsi="仿宋" w:eastAsia="仿宋"/>
          <w:color w:val="000000"/>
          <w:kern w:val="0"/>
          <w:sz w:val="24"/>
          <w:shd w:val="clear" w:color="auto" w:fill="FFFFFF"/>
        </w:rPr>
        <w:t>相关服务</w:t>
      </w:r>
      <w:r>
        <w:rPr>
          <w:rFonts w:ascii="仿宋" w:hAnsi="仿宋" w:eastAsia="仿宋"/>
          <w:color w:val="000000"/>
          <w:kern w:val="0"/>
          <w:sz w:val="24"/>
          <w:shd w:val="clear" w:color="auto" w:fill="FFFFFF"/>
        </w:rPr>
        <w:t>工作</w:t>
      </w:r>
      <w:r>
        <w:rPr>
          <w:rFonts w:hint="eastAsia" w:ascii="仿宋" w:hAnsi="仿宋" w:eastAsia="仿宋"/>
          <w:color w:val="000000"/>
          <w:kern w:val="0"/>
          <w:sz w:val="24"/>
          <w:shd w:val="clear" w:color="auto" w:fill="FFFFFF"/>
        </w:rPr>
        <w:t>，乙方保证专业操作人员</w:t>
      </w:r>
      <w:commentRangeStart w:id="0"/>
      <w:r>
        <w:rPr>
          <w:rFonts w:hint="eastAsia" w:ascii="仿宋" w:hAnsi="仿宋" w:eastAsia="仿宋"/>
          <w:color w:val="000000"/>
          <w:kern w:val="0"/>
          <w:sz w:val="24"/>
          <w:shd w:val="clear" w:color="auto" w:fill="FFFFFF"/>
        </w:rPr>
        <w:t>具备相应的专业防治员上岗证资质和专业能力</w:t>
      </w:r>
      <w:commentRangeEnd w:id="0"/>
      <w:r>
        <w:rPr>
          <w:rFonts w:ascii="仿宋" w:hAnsi="仿宋" w:eastAsia="仿宋"/>
        </w:rPr>
        <w:commentReference w:id="0"/>
      </w:r>
      <w:r>
        <w:rPr>
          <w:rFonts w:hint="eastAsia" w:ascii="仿宋" w:hAnsi="仿宋" w:eastAsia="仿宋"/>
          <w:color w:val="000000"/>
          <w:kern w:val="0"/>
          <w:sz w:val="24"/>
          <w:shd w:val="clear" w:color="auto" w:fill="FFFFFF"/>
        </w:rPr>
        <w:t>，如该人员不具备相应资质或不能达到甲方的要求，甲方有权要求乙方在接到通知后的【</w:t>
      </w:r>
      <w:r>
        <w:rPr>
          <w:rFonts w:ascii="仿宋" w:hAnsi="仿宋" w:eastAsia="仿宋"/>
          <w:color w:val="000000"/>
          <w:kern w:val="0"/>
          <w:sz w:val="24"/>
          <w:shd w:val="clear" w:color="auto" w:fill="FFFFFF"/>
        </w:rPr>
        <w:t>7</w:t>
      </w:r>
      <w:r>
        <w:rPr>
          <w:rFonts w:hint="eastAsia" w:ascii="仿宋" w:hAnsi="仿宋" w:eastAsia="仿宋"/>
          <w:color w:val="000000"/>
          <w:kern w:val="0"/>
          <w:sz w:val="24"/>
          <w:shd w:val="clear" w:color="auto" w:fill="FFFFFF"/>
        </w:rPr>
        <w:t>】个工作日内调换。</w:t>
      </w:r>
    </w:p>
    <w:p w14:paraId="444E13CB">
      <w:pPr>
        <w:widowControl/>
        <w:spacing w:after="200" w:line="400" w:lineRule="exact"/>
        <w:jc w:val="left"/>
        <w:rPr>
          <w:rFonts w:ascii="仿宋" w:hAnsi="仿宋" w:eastAsia="仿宋"/>
          <w:color w:val="000000"/>
          <w:kern w:val="0"/>
          <w:sz w:val="24"/>
        </w:rPr>
      </w:pPr>
      <w:r>
        <w:rPr>
          <w:rFonts w:hint="eastAsia" w:ascii="仿宋" w:hAnsi="仿宋" w:eastAsia="仿宋"/>
          <w:color w:val="000000"/>
          <w:kern w:val="0"/>
          <w:sz w:val="24"/>
        </w:rPr>
        <w:t>1.</w:t>
      </w:r>
      <w:r>
        <w:rPr>
          <w:rFonts w:ascii="仿宋" w:hAnsi="仿宋" w:eastAsia="仿宋"/>
          <w:color w:val="000000"/>
          <w:kern w:val="0"/>
          <w:sz w:val="24"/>
        </w:rPr>
        <w:t>5</w:t>
      </w:r>
      <w:r>
        <w:rPr>
          <w:rFonts w:hint="eastAsia" w:ascii="仿宋" w:hAnsi="仿宋" w:eastAsia="仿宋"/>
          <w:color w:val="000000"/>
          <w:kern w:val="0"/>
          <w:sz w:val="24"/>
        </w:rPr>
        <w:t xml:space="preserve"> 达标准则</w:t>
      </w:r>
    </w:p>
    <w:p w14:paraId="444E13CC">
      <w:pPr>
        <w:spacing w:line="400" w:lineRule="exact"/>
        <w:jc w:val="left"/>
        <w:rPr>
          <w:rFonts w:ascii="仿宋" w:hAnsi="仿宋" w:eastAsia="仿宋"/>
          <w:sz w:val="24"/>
        </w:rPr>
      </w:pPr>
      <w:r>
        <w:rPr>
          <w:rFonts w:ascii="仿宋" w:hAnsi="仿宋" w:eastAsia="仿宋"/>
          <w:sz w:val="24"/>
        </w:rPr>
        <w:t xml:space="preserve">   </w:t>
      </w:r>
      <w:r>
        <w:rPr>
          <w:rFonts w:hint="eastAsia" w:ascii="仿宋" w:hAnsi="仿宋" w:eastAsia="仿宋"/>
          <w:sz w:val="24"/>
        </w:rPr>
        <w:t>乙方保证四害服务达到国家最新的</w:t>
      </w:r>
      <w:r>
        <w:rPr>
          <w:rFonts w:ascii="仿宋" w:hAnsi="仿宋" w:eastAsia="仿宋"/>
          <w:sz w:val="24"/>
        </w:rPr>
        <w:t>GB/T  27770</w:t>
      </w:r>
      <w:r>
        <w:rPr>
          <w:rFonts w:hint="eastAsia" w:ascii="仿宋" w:hAnsi="仿宋" w:eastAsia="仿宋"/>
          <w:sz w:val="24"/>
        </w:rPr>
        <w:t>至</w:t>
      </w:r>
      <w:r>
        <w:rPr>
          <w:rFonts w:ascii="仿宋" w:hAnsi="仿宋" w:eastAsia="仿宋"/>
          <w:sz w:val="24"/>
        </w:rPr>
        <w:t>27773-2011</w:t>
      </w:r>
      <w:r>
        <w:rPr>
          <w:rFonts w:hint="eastAsia" w:ascii="仿宋" w:hAnsi="仿宋" w:eastAsia="仿宋"/>
          <w:sz w:val="24"/>
        </w:rPr>
        <w:t>标准。</w:t>
      </w:r>
    </w:p>
    <w:p w14:paraId="444E13CD">
      <w:pPr>
        <w:widowControl/>
        <w:spacing w:after="200" w:line="400" w:lineRule="exact"/>
        <w:jc w:val="left"/>
        <w:rPr>
          <w:rFonts w:ascii="仿宋" w:hAnsi="仿宋" w:eastAsia="仿宋"/>
          <w:color w:val="000000"/>
          <w:kern w:val="0"/>
          <w:sz w:val="24"/>
        </w:rPr>
      </w:pPr>
      <w:r>
        <w:rPr>
          <w:rFonts w:hint="eastAsia" w:ascii="仿宋" w:hAnsi="仿宋" w:eastAsia="仿宋"/>
          <w:color w:val="000000"/>
          <w:kern w:val="0"/>
          <w:sz w:val="24"/>
        </w:rPr>
        <w:t>1.</w:t>
      </w:r>
      <w:r>
        <w:rPr>
          <w:rFonts w:ascii="仿宋" w:hAnsi="仿宋" w:eastAsia="仿宋"/>
          <w:color w:val="000000"/>
          <w:kern w:val="0"/>
          <w:sz w:val="24"/>
        </w:rPr>
        <w:t>6</w:t>
      </w:r>
      <w:r>
        <w:rPr>
          <w:rFonts w:hint="eastAsia" w:ascii="仿宋" w:hAnsi="仿宋" w:eastAsia="仿宋"/>
          <w:color w:val="000000"/>
          <w:kern w:val="0"/>
          <w:sz w:val="24"/>
        </w:rPr>
        <w:t xml:space="preserve"> 本年度合同包含免费提供到酒店各点位安排的以下用品：</w:t>
      </w:r>
    </w:p>
    <w:p w14:paraId="444E13CE">
      <w:pPr>
        <w:spacing w:line="400" w:lineRule="exact"/>
        <w:ind w:firstLine="480" w:firstLineChars="200"/>
        <w:jc w:val="left"/>
        <w:rPr>
          <w:rFonts w:ascii="仿宋" w:hAnsi="仿宋" w:eastAsia="仿宋"/>
          <w:sz w:val="24"/>
        </w:rPr>
      </w:pPr>
      <w:r>
        <w:rPr>
          <w:rFonts w:hint="eastAsia" w:ascii="仿宋" w:hAnsi="仿宋" w:eastAsia="仿宋"/>
          <w:sz w:val="24"/>
        </w:rPr>
        <w:t>室内吸蚊灯：酒店各厨房及后区主入口的灭蝇灯等共计</w:t>
      </w:r>
      <w:r>
        <w:rPr>
          <w:rFonts w:ascii="仿宋" w:hAnsi="仿宋" w:eastAsia="仿宋"/>
          <w:sz w:val="24"/>
        </w:rPr>
        <w:t>20</w:t>
      </w:r>
      <w:r>
        <w:rPr>
          <w:rFonts w:hint="eastAsia" w:ascii="仿宋" w:hAnsi="仿宋" w:eastAsia="仿宋"/>
          <w:sz w:val="24"/>
        </w:rPr>
        <w:t>台、诱蚊灯</w:t>
      </w:r>
      <w:r>
        <w:rPr>
          <w:rFonts w:ascii="仿宋" w:hAnsi="仿宋" w:eastAsia="仿宋"/>
          <w:sz w:val="24"/>
        </w:rPr>
        <w:t>12</w:t>
      </w:r>
      <w:r>
        <w:rPr>
          <w:rFonts w:hint="eastAsia" w:ascii="仿宋" w:hAnsi="仿宋" w:eastAsia="仿宋"/>
          <w:sz w:val="24"/>
        </w:rPr>
        <w:t>台。合同期内灭蝇灯每月更换</w:t>
      </w:r>
      <w:r>
        <w:rPr>
          <w:rFonts w:ascii="仿宋" w:hAnsi="仿宋" w:eastAsia="仿宋"/>
          <w:sz w:val="24"/>
        </w:rPr>
        <w:t xml:space="preserve">1次灭蝇灯粘纸 </w:t>
      </w:r>
      <w:r>
        <w:rPr>
          <w:rFonts w:hint="eastAsia" w:ascii="仿宋" w:hAnsi="仿宋" w:eastAsia="仿宋"/>
          <w:sz w:val="24"/>
        </w:rPr>
        <w:t>。</w:t>
      </w:r>
    </w:p>
    <w:p w14:paraId="444E13CF">
      <w:pPr>
        <w:spacing w:line="380" w:lineRule="exact"/>
        <w:jc w:val="center"/>
        <w:rPr>
          <w:rFonts w:ascii="仿宋" w:hAnsi="仿宋" w:eastAsia="仿宋"/>
          <w:bCs/>
          <w:sz w:val="24"/>
        </w:rPr>
      </w:pPr>
    </w:p>
    <w:p w14:paraId="444E13D0">
      <w:pPr>
        <w:numPr>
          <w:ilvl w:val="0"/>
          <w:numId w:val="2"/>
        </w:numPr>
        <w:spacing w:line="380" w:lineRule="exact"/>
        <w:jc w:val="center"/>
        <w:rPr>
          <w:rFonts w:ascii="仿宋" w:hAnsi="仿宋" w:eastAsia="仿宋"/>
          <w:bCs/>
          <w:sz w:val="24"/>
        </w:rPr>
      </w:pPr>
      <w:r>
        <w:rPr>
          <w:rFonts w:ascii="仿宋" w:hAnsi="仿宋" w:eastAsia="仿宋"/>
          <w:bCs/>
          <w:sz w:val="24"/>
        </w:rPr>
        <w:t xml:space="preserve"> </w:t>
      </w:r>
      <w:r>
        <w:rPr>
          <w:rFonts w:hint="eastAsia" w:ascii="仿宋" w:hAnsi="仿宋" w:eastAsia="仿宋"/>
          <w:bCs/>
          <w:sz w:val="24"/>
        </w:rPr>
        <w:t>合同期限及服务费用支付方式</w:t>
      </w:r>
    </w:p>
    <w:p w14:paraId="444E13D2">
      <w:pPr>
        <w:numPr>
          <w:ilvl w:val="255"/>
          <w:numId w:val="0"/>
        </w:numPr>
        <w:spacing w:line="380" w:lineRule="exact"/>
        <w:jc w:val="center"/>
        <w:rPr>
          <w:rFonts w:ascii="仿宋" w:hAnsi="仿宋" w:eastAsia="仿宋"/>
          <w:bCs/>
          <w:sz w:val="24"/>
        </w:rPr>
      </w:pPr>
    </w:p>
    <w:p w14:paraId="444E13D3">
      <w:pPr>
        <w:spacing w:line="400" w:lineRule="exact"/>
        <w:jc w:val="left"/>
        <w:rPr>
          <w:rFonts w:ascii="仿宋" w:hAnsi="仿宋" w:eastAsia="仿宋"/>
          <w:sz w:val="24"/>
        </w:rPr>
      </w:pPr>
      <w:r>
        <w:rPr>
          <w:rFonts w:ascii="仿宋" w:hAnsi="仿宋" w:eastAsia="仿宋"/>
          <w:sz w:val="24"/>
        </w:rPr>
        <w:t xml:space="preserve">2.1  </w:t>
      </w:r>
      <w:r>
        <w:rPr>
          <w:rFonts w:hint="eastAsia" w:ascii="仿宋" w:hAnsi="仿宋" w:eastAsia="仿宋"/>
          <w:sz w:val="24"/>
        </w:rPr>
        <w:t>合约期限壹年，即</w:t>
      </w:r>
      <w:r>
        <w:rPr>
          <w:rFonts w:ascii="仿宋" w:hAnsi="仿宋" w:eastAsia="仿宋"/>
          <w:sz w:val="24"/>
          <w:u w:val="single"/>
        </w:rPr>
        <w:t>202</w:t>
      </w:r>
      <w:r>
        <w:rPr>
          <w:rFonts w:hint="eastAsia" w:ascii="仿宋" w:hAnsi="仿宋" w:eastAsia="仿宋"/>
          <w:sz w:val="24"/>
          <w:u w:val="single"/>
          <w:lang w:val="en-US" w:eastAsia="zh-CN"/>
        </w:rPr>
        <w:t>6</w:t>
      </w:r>
      <w:r>
        <w:rPr>
          <w:rFonts w:hint="eastAsia" w:ascii="仿宋" w:hAnsi="仿宋" w:eastAsia="仿宋"/>
          <w:sz w:val="24"/>
        </w:rPr>
        <w:t>年</w:t>
      </w:r>
      <w:r>
        <w:rPr>
          <w:rFonts w:ascii="仿宋" w:hAnsi="仿宋" w:eastAsia="仿宋"/>
          <w:sz w:val="24"/>
          <w:u w:val="single"/>
        </w:rPr>
        <w:t>1</w:t>
      </w:r>
      <w:r>
        <w:rPr>
          <w:rFonts w:hint="eastAsia" w:ascii="仿宋" w:hAnsi="仿宋" w:eastAsia="仿宋"/>
          <w:sz w:val="24"/>
        </w:rPr>
        <w:t>月</w:t>
      </w:r>
      <w:r>
        <w:rPr>
          <w:rFonts w:ascii="仿宋" w:hAnsi="仿宋" w:eastAsia="仿宋"/>
          <w:sz w:val="24"/>
          <w:u w:val="single"/>
        </w:rPr>
        <w:t>10</w:t>
      </w:r>
      <w:r>
        <w:rPr>
          <w:rFonts w:hint="eastAsia" w:ascii="仿宋" w:hAnsi="仿宋" w:eastAsia="仿宋"/>
          <w:sz w:val="24"/>
        </w:rPr>
        <w:t>日至</w:t>
      </w:r>
      <w:r>
        <w:rPr>
          <w:rFonts w:ascii="仿宋" w:hAnsi="仿宋" w:eastAsia="仿宋"/>
          <w:sz w:val="24"/>
          <w:u w:val="single"/>
        </w:rPr>
        <w:t>202</w:t>
      </w:r>
      <w:r>
        <w:rPr>
          <w:rFonts w:hint="eastAsia" w:ascii="仿宋" w:hAnsi="仿宋" w:eastAsia="仿宋"/>
          <w:sz w:val="24"/>
          <w:u w:val="single"/>
          <w:lang w:val="en-US" w:eastAsia="zh-CN"/>
        </w:rPr>
        <w:t>7</w:t>
      </w:r>
      <w:r>
        <w:rPr>
          <w:rFonts w:hint="eastAsia" w:ascii="仿宋" w:hAnsi="仿宋" w:eastAsia="仿宋"/>
          <w:sz w:val="24"/>
        </w:rPr>
        <w:t>年</w:t>
      </w:r>
      <w:r>
        <w:rPr>
          <w:rFonts w:ascii="仿宋" w:hAnsi="仿宋" w:eastAsia="仿宋"/>
          <w:sz w:val="24"/>
          <w:u w:val="single"/>
        </w:rPr>
        <w:t>1</w:t>
      </w:r>
      <w:r>
        <w:rPr>
          <w:rFonts w:hint="eastAsia" w:ascii="仿宋" w:hAnsi="仿宋" w:eastAsia="仿宋"/>
          <w:sz w:val="24"/>
        </w:rPr>
        <w:t>月</w:t>
      </w:r>
      <w:r>
        <w:rPr>
          <w:rFonts w:ascii="仿宋" w:hAnsi="仿宋" w:eastAsia="仿宋"/>
          <w:sz w:val="24"/>
          <w:u w:val="single"/>
        </w:rPr>
        <w:t>09</w:t>
      </w:r>
      <w:r>
        <w:rPr>
          <w:rFonts w:hint="eastAsia" w:ascii="仿宋" w:hAnsi="仿宋" w:eastAsia="仿宋"/>
          <w:sz w:val="24"/>
        </w:rPr>
        <w:t>日止。</w:t>
      </w:r>
    </w:p>
    <w:p w14:paraId="444E13D4">
      <w:pPr>
        <w:spacing w:line="400" w:lineRule="exact"/>
        <w:jc w:val="left"/>
        <w:rPr>
          <w:rFonts w:ascii="仿宋" w:hAnsi="仿宋" w:eastAsia="仿宋"/>
          <w:sz w:val="24"/>
        </w:rPr>
      </w:pPr>
      <w:r>
        <w:rPr>
          <w:rFonts w:ascii="仿宋" w:hAnsi="仿宋" w:eastAsia="仿宋"/>
          <w:sz w:val="24"/>
        </w:rPr>
        <w:t xml:space="preserve">2.2  </w:t>
      </w:r>
      <w:r>
        <w:rPr>
          <w:rFonts w:hint="eastAsia" w:ascii="仿宋" w:hAnsi="仿宋" w:eastAsia="仿宋"/>
          <w:sz w:val="24"/>
        </w:rPr>
        <w:t>在合同消杀期间若乙方除四害服务达不到国家的密度标准，经甲、乙双方认定后，甲方有权终止合同。</w:t>
      </w:r>
    </w:p>
    <w:p w14:paraId="444E13D5">
      <w:pPr>
        <w:spacing w:line="400" w:lineRule="exact"/>
        <w:jc w:val="left"/>
        <w:rPr>
          <w:rFonts w:ascii="仿宋" w:hAnsi="仿宋" w:eastAsia="仿宋"/>
          <w:sz w:val="24"/>
        </w:rPr>
      </w:pPr>
      <w:r>
        <w:rPr>
          <w:rFonts w:ascii="仿宋" w:hAnsi="仿宋" w:eastAsia="仿宋"/>
          <w:sz w:val="24"/>
        </w:rPr>
        <w:t xml:space="preserve">2.2  </w:t>
      </w:r>
      <w:r>
        <w:rPr>
          <w:rFonts w:hint="eastAsia" w:ascii="仿宋" w:hAnsi="仿宋" w:eastAsia="仿宋"/>
          <w:sz w:val="24"/>
        </w:rPr>
        <w:t>除非双方在合同到期前</w:t>
      </w:r>
      <w:r>
        <w:rPr>
          <w:rFonts w:ascii="仿宋" w:hAnsi="仿宋" w:eastAsia="仿宋"/>
          <w:sz w:val="24"/>
          <w:u w:val="single"/>
        </w:rPr>
        <w:t>30</w:t>
      </w:r>
      <w:r>
        <w:rPr>
          <w:rFonts w:hint="eastAsia" w:ascii="仿宋" w:hAnsi="仿宋" w:eastAsia="仿宋"/>
          <w:sz w:val="24"/>
        </w:rPr>
        <w:t>天另行书面通知再续订，否则本合同将在合同到期后自动终止。</w:t>
      </w:r>
    </w:p>
    <w:p w14:paraId="643489BF">
      <w:pPr>
        <w:spacing w:line="400" w:lineRule="exact"/>
        <w:jc w:val="left"/>
        <w:rPr>
          <w:rFonts w:ascii="仿宋" w:hAnsi="仿宋" w:eastAsia="仿宋"/>
          <w:sz w:val="24"/>
        </w:rPr>
      </w:pPr>
      <w:r>
        <w:rPr>
          <w:rFonts w:ascii="仿宋" w:hAnsi="仿宋" w:eastAsia="仿宋"/>
          <w:sz w:val="24"/>
        </w:rPr>
        <w:t xml:space="preserve">2.3  </w:t>
      </w:r>
      <w:r>
        <w:rPr>
          <w:rFonts w:hint="eastAsia" w:ascii="仿宋" w:hAnsi="仿宋" w:eastAsia="仿宋"/>
          <w:sz w:val="24"/>
        </w:rPr>
        <w:t>甲方应在每月收到乙方开具的有效发票后的【</w:t>
      </w:r>
      <w:r>
        <w:rPr>
          <w:rFonts w:ascii="仿宋" w:hAnsi="仿宋" w:eastAsia="仿宋"/>
          <w:sz w:val="24"/>
        </w:rPr>
        <w:t>30</w:t>
      </w:r>
      <w:r>
        <w:rPr>
          <w:rFonts w:hint="eastAsia" w:ascii="仿宋" w:hAnsi="仿宋" w:eastAsia="仿宋"/>
          <w:sz w:val="24"/>
        </w:rPr>
        <w:t>】个工作日内向乙方支付服务费用。</w:t>
      </w:r>
    </w:p>
    <w:p w14:paraId="444E13D7">
      <w:pPr>
        <w:spacing w:line="400" w:lineRule="exact"/>
        <w:jc w:val="left"/>
        <w:rPr>
          <w:rFonts w:ascii="仿宋" w:hAnsi="仿宋" w:eastAsia="仿宋" w:cs="Times New Roman"/>
          <w:sz w:val="24"/>
        </w:rPr>
      </w:pPr>
      <w:r>
        <w:rPr>
          <w:rFonts w:ascii="仿宋" w:hAnsi="仿宋" w:eastAsia="仿宋" w:cs="Times New Roman"/>
          <w:sz w:val="24"/>
        </w:rPr>
        <w:t>2.4</w:t>
      </w:r>
      <w:r>
        <w:rPr>
          <w:rFonts w:hint="eastAsia" w:ascii="仿宋" w:hAnsi="仿宋" w:eastAsia="仿宋" w:cs="Times New Roman"/>
          <w:sz w:val="24"/>
        </w:rPr>
        <w:t>本合同含税金额为人民币￥元</w:t>
      </w:r>
      <w:r>
        <w:rPr>
          <w:rFonts w:ascii="仿宋" w:hAnsi="仿宋" w:eastAsia="仿宋" w:cs="Times New Roman"/>
          <w:sz w:val="24"/>
        </w:rPr>
        <w:t>/</w:t>
      </w:r>
      <w:r>
        <w:rPr>
          <w:rFonts w:hint="eastAsia" w:ascii="仿宋" w:hAnsi="仿宋" w:eastAsia="仿宋" w:cs="Times New Roman"/>
          <w:sz w:val="24"/>
        </w:rPr>
        <w:t>月，其中不含税为人民币￥元，税额（</w:t>
      </w:r>
      <w:r>
        <w:rPr>
          <w:rFonts w:ascii="仿宋" w:hAnsi="仿宋" w:eastAsia="仿宋" w:cs="Times New Roman"/>
          <w:sz w:val="24"/>
        </w:rPr>
        <w:t>3%）</w:t>
      </w:r>
      <w:r>
        <w:rPr>
          <w:rFonts w:hint="eastAsia" w:ascii="仿宋" w:hAnsi="仿宋" w:eastAsia="仿宋" w:cs="Times New Roman"/>
          <w:sz w:val="24"/>
        </w:rPr>
        <w:t>为人民币￥元/月；全年含税金额为人民币￥元。不含税金额为人民币￥元。</w:t>
      </w:r>
    </w:p>
    <w:p w14:paraId="444E13D8">
      <w:pPr>
        <w:spacing w:line="400" w:lineRule="exact"/>
        <w:jc w:val="left"/>
        <w:rPr>
          <w:rFonts w:ascii="仿宋" w:hAnsi="仿宋" w:eastAsia="仿宋"/>
          <w:sz w:val="24"/>
        </w:rPr>
      </w:pPr>
      <w:r>
        <w:rPr>
          <w:rFonts w:ascii="仿宋" w:hAnsi="仿宋" w:eastAsia="仿宋"/>
          <w:sz w:val="24"/>
        </w:rPr>
        <w:t xml:space="preserve">2.4  </w:t>
      </w:r>
      <w:r>
        <w:rPr>
          <w:rFonts w:hint="eastAsia" w:ascii="仿宋" w:hAnsi="仿宋" w:eastAsia="仿宋"/>
          <w:sz w:val="24"/>
        </w:rPr>
        <w:t>乙方将在合约期内免费提供所需的诱饵站及白蚁引诱箱，如在合约期内，甲方需要其他服务，如建筑结构改善服务、外围灭蚊虫等，则与乙方另行协商，酌情支付费用。</w:t>
      </w:r>
    </w:p>
    <w:p w14:paraId="444E13D9">
      <w:pPr>
        <w:spacing w:line="400" w:lineRule="exact"/>
        <w:rPr>
          <w:rFonts w:ascii="仿宋" w:hAnsi="仿宋" w:eastAsia="仿宋"/>
          <w:sz w:val="24"/>
        </w:rPr>
      </w:pPr>
      <w:r>
        <w:rPr>
          <w:rFonts w:ascii="仿宋" w:hAnsi="仿宋" w:eastAsia="仿宋"/>
          <w:sz w:val="24"/>
        </w:rPr>
        <w:t xml:space="preserve">2.5  </w:t>
      </w:r>
      <w:r>
        <w:rPr>
          <w:rFonts w:hint="eastAsia" w:ascii="仿宋" w:hAnsi="仿宋" w:eastAsia="仿宋"/>
          <w:sz w:val="24"/>
        </w:rPr>
        <w:t>本协议的报价均为含税价格，乙方依法开具商业发票，自行承担并向国家缴纳相应税款，服务商应在每月【</w:t>
      </w:r>
      <w:r>
        <w:rPr>
          <w:rFonts w:ascii="仿宋" w:hAnsi="仿宋" w:eastAsia="仿宋"/>
          <w:sz w:val="24"/>
        </w:rPr>
        <w:t>10</w:t>
      </w:r>
      <w:r>
        <w:rPr>
          <w:rFonts w:hint="eastAsia" w:ascii="仿宋" w:hAnsi="仿宋" w:eastAsia="仿宋"/>
          <w:sz w:val="24"/>
        </w:rPr>
        <w:t>】号前向甲方开具足额合法有效且符合酒店方要求的税率为</w:t>
      </w:r>
      <w:r>
        <w:rPr>
          <w:rFonts w:ascii="仿宋" w:hAnsi="仿宋" w:eastAsia="仿宋"/>
          <w:sz w:val="24"/>
        </w:rPr>
        <w:t>3%</w:t>
      </w:r>
      <w:r>
        <w:rPr>
          <w:rFonts w:hint="eastAsia" w:ascii="仿宋" w:hAnsi="仿宋" w:eastAsia="仿宋"/>
          <w:sz w:val="24"/>
        </w:rPr>
        <w:t>增值税专用发票，否则酒店方有权拒绝付款且不承担任何逾期付款责任。</w:t>
      </w:r>
    </w:p>
    <w:p w14:paraId="444E13DA">
      <w:pPr>
        <w:spacing w:line="400" w:lineRule="exact"/>
        <w:jc w:val="left"/>
        <w:rPr>
          <w:rFonts w:ascii="仿宋" w:hAnsi="仿宋" w:eastAsia="仿宋"/>
          <w:sz w:val="24"/>
        </w:rPr>
      </w:pPr>
      <w:r>
        <w:rPr>
          <w:rFonts w:ascii="仿宋" w:hAnsi="仿宋" w:eastAsia="仿宋"/>
          <w:sz w:val="24"/>
        </w:rPr>
        <w:t xml:space="preserve">2.6  </w:t>
      </w:r>
      <w:commentRangeStart w:id="1"/>
      <w:r>
        <w:rPr>
          <w:rFonts w:hint="eastAsia" w:ascii="仿宋" w:hAnsi="仿宋" w:eastAsia="仿宋"/>
          <w:sz w:val="24"/>
        </w:rPr>
        <w:t>甲方</w:t>
      </w:r>
      <w:commentRangeEnd w:id="1"/>
      <w:r>
        <w:rPr>
          <w:rFonts w:ascii="仿宋" w:hAnsi="仿宋" w:eastAsia="仿宋"/>
        </w:rPr>
        <w:commentReference w:id="1"/>
      </w:r>
      <w:r>
        <w:rPr>
          <w:rFonts w:hint="eastAsia" w:ascii="仿宋" w:hAnsi="仿宋" w:eastAsia="仿宋"/>
          <w:sz w:val="24"/>
        </w:rPr>
        <w:t>支付至以下银行账户：</w:t>
      </w:r>
    </w:p>
    <w:p w14:paraId="444E13DB">
      <w:pPr>
        <w:spacing w:line="400" w:lineRule="exact"/>
        <w:ind w:firstLine="480"/>
        <w:jc w:val="left"/>
        <w:rPr>
          <w:rFonts w:ascii="仿宋" w:hAnsi="仿宋" w:eastAsia="仿宋"/>
          <w:sz w:val="24"/>
        </w:rPr>
      </w:pPr>
      <w:r>
        <w:rPr>
          <w:rFonts w:hint="eastAsia" w:ascii="仿宋" w:hAnsi="仿宋" w:eastAsia="仿宋"/>
          <w:sz w:val="24"/>
        </w:rPr>
        <w:t>公司名称：</w:t>
      </w:r>
    </w:p>
    <w:p w14:paraId="444E13DC">
      <w:pPr>
        <w:spacing w:line="400" w:lineRule="exact"/>
        <w:ind w:firstLine="480"/>
        <w:jc w:val="left"/>
        <w:rPr>
          <w:rFonts w:ascii="仿宋" w:hAnsi="仿宋" w:eastAsia="仿宋"/>
          <w:sz w:val="24"/>
        </w:rPr>
      </w:pPr>
      <w:r>
        <w:rPr>
          <w:rFonts w:hint="eastAsia" w:ascii="仿宋" w:hAnsi="仿宋" w:eastAsia="仿宋"/>
          <w:sz w:val="24"/>
        </w:rPr>
        <w:t>账</w:t>
      </w:r>
      <w:r>
        <w:rPr>
          <w:rFonts w:ascii="仿宋" w:hAnsi="仿宋" w:eastAsia="仿宋"/>
          <w:sz w:val="24"/>
        </w:rPr>
        <w:t xml:space="preserve">    </w:t>
      </w:r>
      <w:r>
        <w:rPr>
          <w:rFonts w:hint="eastAsia" w:ascii="仿宋" w:hAnsi="仿宋" w:eastAsia="仿宋"/>
          <w:sz w:val="24"/>
        </w:rPr>
        <w:t>号：</w:t>
      </w:r>
    </w:p>
    <w:p w14:paraId="444E13DD">
      <w:pPr>
        <w:spacing w:line="400" w:lineRule="exact"/>
        <w:ind w:firstLine="480"/>
        <w:jc w:val="left"/>
        <w:rPr>
          <w:rFonts w:ascii="仿宋" w:hAnsi="仿宋" w:eastAsia="仿宋"/>
          <w:sz w:val="24"/>
        </w:rPr>
      </w:pPr>
      <w:r>
        <w:rPr>
          <w:rFonts w:hint="eastAsia" w:ascii="仿宋" w:hAnsi="仿宋" w:eastAsia="仿宋"/>
          <w:sz w:val="24"/>
        </w:rPr>
        <w:t>开</w:t>
      </w:r>
      <w:r>
        <w:rPr>
          <w:rFonts w:ascii="仿宋" w:hAnsi="仿宋" w:eastAsia="仿宋"/>
          <w:sz w:val="24"/>
        </w:rPr>
        <w:t xml:space="preserve"> </w:t>
      </w:r>
      <w:r>
        <w:rPr>
          <w:rFonts w:hint="eastAsia" w:ascii="仿宋" w:hAnsi="仿宋" w:eastAsia="仿宋"/>
          <w:sz w:val="24"/>
        </w:rPr>
        <w:t>户</w:t>
      </w:r>
      <w:r>
        <w:rPr>
          <w:rFonts w:ascii="仿宋" w:hAnsi="仿宋" w:eastAsia="仿宋"/>
          <w:sz w:val="24"/>
        </w:rPr>
        <w:t xml:space="preserve"> </w:t>
      </w:r>
      <w:r>
        <w:rPr>
          <w:rFonts w:hint="eastAsia" w:ascii="仿宋" w:hAnsi="仿宋" w:eastAsia="仿宋"/>
          <w:sz w:val="24"/>
        </w:rPr>
        <w:t>行：</w:t>
      </w:r>
      <w:r>
        <w:rPr>
          <w:rFonts w:ascii="仿宋" w:hAnsi="仿宋" w:eastAsia="仿宋"/>
          <w:sz w:val="24"/>
        </w:rPr>
        <w:t xml:space="preserve"> </w:t>
      </w:r>
    </w:p>
    <w:p w14:paraId="22E6F347">
      <w:pPr>
        <w:spacing w:line="400" w:lineRule="exact"/>
        <w:jc w:val="left"/>
        <w:rPr>
          <w:rFonts w:ascii="仿宋" w:hAnsi="仿宋" w:eastAsia="仿宋" w:cs="仿宋_GB2312"/>
          <w:color w:val="000000"/>
          <w:sz w:val="24"/>
          <w:szCs w:val="32"/>
        </w:rPr>
      </w:pPr>
      <w:r>
        <w:rPr>
          <w:rFonts w:hint="eastAsia" w:ascii="仿宋" w:hAnsi="仿宋" w:eastAsia="仿宋"/>
          <w:sz w:val="24"/>
        </w:rPr>
        <w:t>2</w:t>
      </w:r>
      <w:r>
        <w:rPr>
          <w:rFonts w:ascii="仿宋" w:hAnsi="仿宋" w:eastAsia="仿宋"/>
          <w:sz w:val="24"/>
        </w:rPr>
        <w:t xml:space="preserve">.7 </w:t>
      </w:r>
      <w:r>
        <w:rPr>
          <w:rFonts w:hint="eastAsia" w:ascii="仿宋" w:hAnsi="仿宋" w:eastAsia="仿宋"/>
          <w:sz w:val="24"/>
        </w:rPr>
        <w:t>开票</w:t>
      </w:r>
      <w:r>
        <w:rPr>
          <w:rFonts w:hint="eastAsia" w:ascii="仿宋" w:hAnsi="仿宋" w:eastAsia="仿宋" w:cs="仿宋_GB2312"/>
          <w:color w:val="000000"/>
          <w:sz w:val="24"/>
          <w:szCs w:val="32"/>
        </w:rPr>
        <w:t>信息如下：</w:t>
      </w:r>
    </w:p>
    <w:p w14:paraId="110FBB6B">
      <w:pPr>
        <w:pStyle w:val="6"/>
        <w:widowControl w:val="0"/>
        <w:spacing w:before="0" w:beforeAutospacing="0" w:after="0" w:afterAutospacing="0" w:line="500" w:lineRule="exact"/>
        <w:ind w:firstLine="480"/>
        <w:jc w:val="both"/>
        <w:rPr>
          <w:rFonts w:ascii="仿宋" w:hAnsi="仿宋" w:eastAsia="仿宋" w:cs="宋体"/>
          <w:color w:val="auto"/>
          <w:kern w:val="2"/>
          <w:sz w:val="24"/>
          <w:szCs w:val="24"/>
        </w:rPr>
      </w:pPr>
      <w:r>
        <w:rPr>
          <w:rFonts w:hint="eastAsia" w:ascii="仿宋" w:hAnsi="仿宋" w:eastAsia="仿宋" w:cs="宋体"/>
          <w:color w:val="auto"/>
          <w:kern w:val="2"/>
          <w:sz w:val="24"/>
          <w:szCs w:val="24"/>
        </w:rPr>
        <w:t>名称： </w:t>
      </w:r>
      <w:r>
        <w:rPr>
          <w:rFonts w:hint="eastAsia" w:ascii="仿宋" w:hAnsi="仿宋" w:eastAsia="仿宋" w:cs="宋体"/>
          <w:color w:val="auto"/>
          <w:kern w:val="2"/>
          <w:sz w:val="24"/>
          <w:szCs w:val="24"/>
          <w:u w:val="none"/>
        </w:rPr>
        <w:t>深圳市龙祺商业运营管理有限公司美憬阁酒店分公司</w:t>
      </w:r>
      <w:r>
        <w:rPr>
          <w:rFonts w:hint="eastAsia" w:ascii="仿宋" w:hAnsi="仿宋" w:eastAsia="仿宋" w:cs="宋体"/>
          <w:color w:val="auto"/>
          <w:kern w:val="2"/>
          <w:sz w:val="24"/>
          <w:szCs w:val="24"/>
        </w:rPr>
        <w:t> </w:t>
      </w:r>
    </w:p>
    <w:p w14:paraId="2395BC6F">
      <w:pPr>
        <w:pStyle w:val="6"/>
        <w:widowControl w:val="0"/>
        <w:spacing w:before="0" w:beforeAutospacing="0" w:after="0" w:afterAutospacing="0" w:line="500" w:lineRule="exact"/>
        <w:ind w:firstLine="480"/>
        <w:jc w:val="both"/>
        <w:rPr>
          <w:rFonts w:ascii="仿宋" w:hAnsi="仿宋" w:eastAsia="仿宋" w:cs="宋体"/>
          <w:color w:val="auto"/>
          <w:kern w:val="2"/>
          <w:sz w:val="24"/>
          <w:szCs w:val="24"/>
        </w:rPr>
      </w:pPr>
      <w:r>
        <w:rPr>
          <w:rFonts w:hint="eastAsia" w:ascii="仿宋" w:hAnsi="仿宋" w:eastAsia="仿宋" w:cs="宋体"/>
          <w:color w:val="auto"/>
          <w:kern w:val="2"/>
          <w:sz w:val="24"/>
          <w:szCs w:val="24"/>
        </w:rPr>
        <w:t>纳税人识别号：</w:t>
      </w:r>
      <w:r>
        <w:rPr>
          <w:rFonts w:hint="eastAsia" w:ascii="仿宋" w:hAnsi="仿宋" w:eastAsia="仿宋" w:cs="宋体"/>
          <w:color w:val="auto"/>
          <w:kern w:val="2"/>
          <w:sz w:val="24"/>
          <w:szCs w:val="24"/>
          <w:u w:val="none"/>
        </w:rPr>
        <w:t xml:space="preserve"> </w:t>
      </w:r>
      <w:r>
        <w:rPr>
          <w:rFonts w:ascii="仿宋" w:hAnsi="仿宋" w:eastAsia="仿宋" w:cs="宋体"/>
          <w:color w:val="auto"/>
          <w:kern w:val="2"/>
          <w:sz w:val="24"/>
          <w:szCs w:val="24"/>
          <w:u w:val="none"/>
        </w:rPr>
        <w:t>91440300MADWUM898J</w:t>
      </w:r>
      <w:r>
        <w:rPr>
          <w:rFonts w:hint="eastAsia" w:ascii="仿宋" w:hAnsi="仿宋" w:eastAsia="仿宋" w:cs="宋体"/>
          <w:color w:val="auto"/>
          <w:kern w:val="2"/>
          <w:sz w:val="24"/>
          <w:szCs w:val="24"/>
          <w:u w:val="none"/>
        </w:rPr>
        <w:t xml:space="preserve"> </w:t>
      </w:r>
    </w:p>
    <w:p w14:paraId="426AA985">
      <w:pPr>
        <w:pStyle w:val="6"/>
        <w:widowControl w:val="0"/>
        <w:spacing w:before="0" w:beforeAutospacing="0" w:after="0" w:afterAutospacing="0" w:line="500" w:lineRule="exact"/>
        <w:ind w:firstLine="480"/>
        <w:jc w:val="both"/>
        <w:rPr>
          <w:rFonts w:ascii="仿宋" w:hAnsi="仿宋" w:eastAsia="仿宋" w:cs="宋体"/>
          <w:color w:val="auto"/>
          <w:kern w:val="2"/>
          <w:sz w:val="24"/>
          <w:szCs w:val="24"/>
        </w:rPr>
      </w:pPr>
      <w:r>
        <w:rPr>
          <w:rFonts w:hint="eastAsia" w:ascii="仿宋" w:hAnsi="仿宋" w:eastAsia="仿宋" w:cs="宋体"/>
          <w:color w:val="auto"/>
          <w:kern w:val="2"/>
          <w:sz w:val="24"/>
          <w:szCs w:val="24"/>
        </w:rPr>
        <w:t>地址、电话： </w:t>
      </w:r>
      <w:r>
        <w:rPr>
          <w:rFonts w:hint="eastAsia" w:ascii="仿宋" w:hAnsi="仿宋" w:eastAsia="仿宋" w:cs="宋体"/>
          <w:color w:val="auto"/>
          <w:kern w:val="2"/>
          <w:sz w:val="24"/>
          <w:szCs w:val="24"/>
          <w:u w:val="none"/>
        </w:rPr>
        <w:t>深圳市龙华区大浪街道新石社区浪韵路8号负2层、负1层-15层 0755-23778888</w:t>
      </w:r>
      <w:r>
        <w:rPr>
          <w:rFonts w:hint="eastAsia" w:ascii="仿宋" w:hAnsi="仿宋" w:eastAsia="仿宋" w:cs="宋体"/>
          <w:color w:val="auto"/>
          <w:kern w:val="2"/>
          <w:sz w:val="24"/>
          <w:szCs w:val="24"/>
        </w:rPr>
        <w:t xml:space="preserve">   </w:t>
      </w:r>
    </w:p>
    <w:p w14:paraId="0AD4DB1F">
      <w:pPr>
        <w:spacing w:line="400" w:lineRule="exact"/>
        <w:ind w:firstLine="560"/>
        <w:rPr>
          <w:rFonts w:ascii="仿宋" w:hAnsi="仿宋" w:eastAsia="仿宋"/>
          <w:sz w:val="24"/>
        </w:rPr>
      </w:pPr>
      <w:r>
        <w:rPr>
          <w:rFonts w:hint="eastAsia" w:ascii="仿宋" w:hAnsi="仿宋" w:eastAsia="仿宋" w:cs="宋体"/>
          <w:color w:val="auto"/>
          <w:sz w:val="24"/>
          <w:szCs w:val="24"/>
        </w:rPr>
        <w:t>开户行及账号： </w:t>
      </w:r>
      <w:r>
        <w:rPr>
          <w:rFonts w:hint="eastAsia" w:ascii="仿宋" w:hAnsi="仿宋" w:eastAsia="仿宋" w:cs="宋体"/>
          <w:color w:val="auto"/>
          <w:sz w:val="24"/>
          <w:szCs w:val="24"/>
          <w:u w:val="none"/>
        </w:rPr>
        <w:t xml:space="preserve"> 兴业银行股份有限公司深圳民治支行</w:t>
      </w:r>
      <w:r>
        <w:rPr>
          <w:rFonts w:ascii="仿宋" w:hAnsi="仿宋" w:eastAsia="仿宋" w:cs="宋体"/>
          <w:color w:val="auto"/>
          <w:sz w:val="24"/>
          <w:szCs w:val="24"/>
          <w:u w:val="none"/>
        </w:rPr>
        <w:t>338200100100210092</w:t>
      </w:r>
    </w:p>
    <w:p w14:paraId="4207F19A">
      <w:pPr>
        <w:spacing w:line="400" w:lineRule="exact"/>
        <w:ind w:firstLine="560"/>
        <w:rPr>
          <w:rFonts w:ascii="仿宋" w:hAnsi="仿宋" w:eastAsia="仿宋"/>
          <w:sz w:val="24"/>
        </w:rPr>
      </w:pPr>
    </w:p>
    <w:p w14:paraId="6E997D94">
      <w:pPr>
        <w:numPr>
          <w:ilvl w:val="0"/>
          <w:numId w:val="3"/>
        </w:numPr>
        <w:spacing w:line="400" w:lineRule="exact"/>
        <w:ind w:firstLine="560"/>
        <w:jc w:val="center"/>
        <w:rPr>
          <w:rFonts w:ascii="仿宋" w:hAnsi="仿宋" w:eastAsia="仿宋"/>
          <w:bCs/>
          <w:sz w:val="24"/>
        </w:rPr>
      </w:pPr>
      <w:r>
        <w:rPr>
          <w:rFonts w:ascii="仿宋" w:hAnsi="仿宋" w:eastAsia="仿宋"/>
          <w:bCs/>
          <w:sz w:val="24"/>
        </w:rPr>
        <w:t xml:space="preserve"> </w:t>
      </w:r>
      <w:r>
        <w:rPr>
          <w:rFonts w:hint="eastAsia" w:ascii="仿宋" w:hAnsi="仿宋" w:eastAsia="仿宋"/>
          <w:bCs/>
          <w:sz w:val="24"/>
        </w:rPr>
        <w:t>甲方责任</w:t>
      </w:r>
    </w:p>
    <w:p w14:paraId="444E13E1">
      <w:pPr>
        <w:spacing w:line="400" w:lineRule="exact"/>
        <w:jc w:val="left"/>
        <w:rPr>
          <w:rFonts w:ascii="仿宋" w:hAnsi="仿宋" w:eastAsia="仿宋"/>
          <w:sz w:val="24"/>
        </w:rPr>
      </w:pPr>
      <w:r>
        <w:rPr>
          <w:rFonts w:ascii="仿宋" w:hAnsi="仿宋" w:eastAsia="仿宋"/>
          <w:sz w:val="24"/>
        </w:rPr>
        <w:t xml:space="preserve">3.1  </w:t>
      </w:r>
      <w:r>
        <w:rPr>
          <w:rFonts w:hint="eastAsia" w:ascii="仿宋" w:hAnsi="仿宋" w:eastAsia="仿宋"/>
          <w:sz w:val="24"/>
        </w:rPr>
        <w:t>垃圾、污水等卫生基础设施和防鼠防蝇设施</w:t>
      </w:r>
      <w:commentRangeStart w:id="2"/>
      <w:r>
        <w:rPr>
          <w:rFonts w:hint="eastAsia" w:ascii="仿宋" w:hAnsi="仿宋" w:eastAsia="仿宋"/>
          <w:sz w:val="24"/>
        </w:rPr>
        <w:t>符合四害防治要求</w:t>
      </w:r>
      <w:commentRangeEnd w:id="2"/>
      <w:r>
        <w:rPr>
          <w:rFonts w:ascii="仿宋" w:hAnsi="仿宋" w:eastAsia="仿宋"/>
        </w:rPr>
        <w:commentReference w:id="2"/>
      </w:r>
      <w:r>
        <w:rPr>
          <w:rFonts w:hint="eastAsia" w:ascii="仿宋" w:hAnsi="仿宋" w:eastAsia="仿宋"/>
          <w:sz w:val="24"/>
        </w:rPr>
        <w:t>，搞好环境卫生，清理卫生死角和杂物，以便乙方达到虫害控制质量的要求；否则乙方不承担因此而造成的影响；</w:t>
      </w:r>
    </w:p>
    <w:p w14:paraId="444E13E2">
      <w:pPr>
        <w:shd w:val="solid" w:color="FFFFFF" w:fill="auto"/>
        <w:autoSpaceDN w:val="0"/>
        <w:spacing w:line="400" w:lineRule="exact"/>
        <w:rPr>
          <w:rFonts w:ascii="仿宋" w:hAnsi="仿宋" w:eastAsia="仿宋"/>
          <w:sz w:val="24"/>
        </w:rPr>
      </w:pPr>
      <w:r>
        <w:rPr>
          <w:rFonts w:ascii="仿宋" w:hAnsi="仿宋" w:eastAsia="仿宋"/>
          <w:sz w:val="24"/>
        </w:rPr>
        <w:t xml:space="preserve">3.2 </w:t>
      </w:r>
      <w:r>
        <w:rPr>
          <w:rFonts w:hint="eastAsia" w:ascii="仿宋" w:hAnsi="仿宋" w:eastAsia="仿宋"/>
          <w:sz w:val="24"/>
        </w:rPr>
        <w:t>甲方为乙方工作人员在酒店服务过程中提供免费员工工作餐，每日最多2人。</w:t>
      </w:r>
    </w:p>
    <w:p w14:paraId="444E13E3">
      <w:pPr>
        <w:shd w:val="solid" w:color="FFFFFF" w:fill="auto"/>
        <w:autoSpaceDN w:val="0"/>
        <w:spacing w:line="400" w:lineRule="exact"/>
        <w:rPr>
          <w:rFonts w:ascii="仿宋" w:hAnsi="仿宋" w:eastAsia="仿宋"/>
          <w:color w:val="000000"/>
          <w:sz w:val="24"/>
          <w:shd w:val="clear" w:color="auto" w:fill="FFFFFF"/>
        </w:rPr>
      </w:pPr>
      <w:r>
        <w:rPr>
          <w:rFonts w:ascii="仿宋" w:hAnsi="仿宋" w:eastAsia="仿宋"/>
          <w:sz w:val="24"/>
        </w:rPr>
        <w:t xml:space="preserve">3.3 </w:t>
      </w:r>
      <w:r>
        <w:rPr>
          <w:rFonts w:hint="eastAsia" w:ascii="仿宋" w:hAnsi="仿宋" w:eastAsia="仿宋"/>
          <w:sz w:val="24"/>
        </w:rPr>
        <w:t>指定人员负责配合乙方工作，协助乙方提供工作便利，如：乙方入室进行消杀、检查，有专人配合乙方工作，执行合同规定。</w:t>
      </w:r>
      <w:r>
        <w:rPr>
          <w:rFonts w:hint="eastAsia" w:ascii="仿宋" w:hAnsi="仿宋" w:eastAsia="仿宋"/>
          <w:color w:val="000000"/>
          <w:sz w:val="24"/>
          <w:shd w:val="clear" w:color="auto" w:fill="FFFFFF"/>
        </w:rPr>
        <w:t>甲方有权对乙方的工作人员及所使用的工具、药品及其质量、品牌进行检查，同时也对乙方是否按照工作计划实施操作、各项消杀工作进展情况进行监督。</w:t>
      </w:r>
    </w:p>
    <w:p w14:paraId="444E13E4">
      <w:pPr>
        <w:spacing w:line="400" w:lineRule="exact"/>
        <w:jc w:val="left"/>
        <w:rPr>
          <w:rFonts w:ascii="仿宋" w:hAnsi="仿宋" w:eastAsia="仿宋"/>
          <w:sz w:val="24"/>
        </w:rPr>
      </w:pPr>
      <w:r>
        <w:rPr>
          <w:rFonts w:ascii="仿宋" w:hAnsi="仿宋" w:eastAsia="仿宋"/>
          <w:sz w:val="24"/>
        </w:rPr>
        <w:t xml:space="preserve">3.4 </w:t>
      </w:r>
      <w:r>
        <w:rPr>
          <w:rFonts w:hint="eastAsia" w:ascii="仿宋" w:hAnsi="仿宋" w:eastAsia="仿宋"/>
          <w:sz w:val="24"/>
        </w:rPr>
        <w:t>落实乙方提出的防治措施建议，乙方对于容易造成鼠害侵入的建筑结构隐患，向甲方提出建议，双方针对某些建筑缺陷（包括建筑的密封性），提供必要的封堵。</w:t>
      </w:r>
    </w:p>
    <w:p w14:paraId="444E13E5">
      <w:pPr>
        <w:spacing w:line="400" w:lineRule="exact"/>
        <w:jc w:val="left"/>
        <w:rPr>
          <w:rFonts w:ascii="仿宋" w:hAnsi="仿宋" w:eastAsia="仿宋"/>
          <w:sz w:val="24"/>
        </w:rPr>
      </w:pPr>
    </w:p>
    <w:p w14:paraId="444E13E6">
      <w:pPr>
        <w:numPr>
          <w:ilvl w:val="0"/>
          <w:numId w:val="4"/>
        </w:numPr>
        <w:spacing w:line="400" w:lineRule="exact"/>
        <w:jc w:val="center"/>
        <w:rPr>
          <w:rFonts w:ascii="仿宋" w:hAnsi="仿宋" w:eastAsia="仿宋"/>
          <w:bCs/>
          <w:sz w:val="24"/>
        </w:rPr>
      </w:pPr>
      <w:r>
        <w:rPr>
          <w:rFonts w:ascii="仿宋" w:hAnsi="仿宋" w:eastAsia="仿宋"/>
          <w:bCs/>
          <w:sz w:val="24"/>
        </w:rPr>
        <w:t xml:space="preserve"> </w:t>
      </w:r>
      <w:r>
        <w:rPr>
          <w:rFonts w:hint="eastAsia" w:ascii="仿宋" w:hAnsi="仿宋" w:eastAsia="仿宋"/>
          <w:bCs/>
          <w:sz w:val="24"/>
        </w:rPr>
        <w:t>乙方责任</w:t>
      </w:r>
    </w:p>
    <w:p w14:paraId="444E13E7">
      <w:pPr>
        <w:spacing w:line="400" w:lineRule="exact"/>
        <w:rPr>
          <w:rFonts w:ascii="仿宋" w:hAnsi="仿宋" w:eastAsia="仿宋"/>
          <w:bCs/>
          <w:sz w:val="24"/>
        </w:rPr>
      </w:pPr>
    </w:p>
    <w:p w14:paraId="444E13E8">
      <w:pPr>
        <w:spacing w:line="400" w:lineRule="exact"/>
        <w:jc w:val="left"/>
        <w:rPr>
          <w:rFonts w:ascii="仿宋" w:hAnsi="仿宋" w:eastAsia="仿宋"/>
          <w:sz w:val="24"/>
        </w:rPr>
      </w:pPr>
      <w:r>
        <w:rPr>
          <w:rFonts w:ascii="仿宋" w:hAnsi="仿宋" w:eastAsia="仿宋"/>
          <w:sz w:val="24"/>
        </w:rPr>
        <w:t xml:space="preserve">4.1  </w:t>
      </w:r>
      <w:r>
        <w:rPr>
          <w:rFonts w:hint="eastAsia" w:ascii="仿宋" w:hAnsi="仿宋" w:eastAsia="仿宋"/>
          <w:sz w:val="24"/>
        </w:rPr>
        <w:t>乙方需要提供以下有效期内的证件；</w:t>
      </w:r>
    </w:p>
    <w:p w14:paraId="444E13E9">
      <w:pPr>
        <w:numPr>
          <w:ilvl w:val="0"/>
          <w:numId w:val="5"/>
        </w:numPr>
        <w:spacing w:line="400" w:lineRule="exact"/>
        <w:jc w:val="left"/>
        <w:rPr>
          <w:rFonts w:ascii="仿宋" w:hAnsi="仿宋" w:eastAsia="仿宋"/>
          <w:sz w:val="24"/>
        </w:rPr>
      </w:pPr>
      <w:r>
        <w:rPr>
          <w:rFonts w:hint="eastAsia" w:ascii="仿宋" w:hAnsi="仿宋" w:eastAsia="仿宋"/>
          <w:sz w:val="24"/>
        </w:rPr>
        <w:t>营业执照</w:t>
      </w:r>
    </w:p>
    <w:p w14:paraId="444E13EA">
      <w:pPr>
        <w:numPr>
          <w:ilvl w:val="0"/>
          <w:numId w:val="6"/>
        </w:numPr>
        <w:spacing w:line="400" w:lineRule="exact"/>
        <w:jc w:val="left"/>
        <w:rPr>
          <w:rFonts w:ascii="仿宋" w:hAnsi="仿宋" w:eastAsia="仿宋"/>
          <w:sz w:val="24"/>
        </w:rPr>
      </w:pPr>
      <w:r>
        <w:rPr>
          <w:rFonts w:hint="eastAsia" w:ascii="仿宋" w:hAnsi="仿宋" w:eastAsia="仿宋"/>
          <w:sz w:val="24"/>
        </w:rPr>
        <w:t>技术操作人员上岗证复印件</w:t>
      </w:r>
    </w:p>
    <w:p w14:paraId="444E13EB">
      <w:pPr>
        <w:numPr>
          <w:ilvl w:val="0"/>
          <w:numId w:val="5"/>
        </w:numPr>
        <w:spacing w:line="400" w:lineRule="exact"/>
        <w:jc w:val="left"/>
        <w:rPr>
          <w:rFonts w:ascii="仿宋" w:hAnsi="仿宋" w:eastAsia="仿宋"/>
          <w:sz w:val="24"/>
        </w:rPr>
      </w:pPr>
      <w:r>
        <w:rPr>
          <w:rFonts w:hint="eastAsia" w:ascii="仿宋" w:hAnsi="仿宋" w:eastAsia="仿宋"/>
          <w:sz w:val="24"/>
        </w:rPr>
        <w:t>使用药物清单、化学药物安全数据表及农药登记证及许可证</w:t>
      </w:r>
    </w:p>
    <w:p w14:paraId="444E13EC">
      <w:pPr>
        <w:spacing w:line="400" w:lineRule="exact"/>
        <w:jc w:val="left"/>
        <w:rPr>
          <w:rFonts w:ascii="仿宋" w:hAnsi="仿宋" w:eastAsia="仿宋"/>
          <w:sz w:val="24"/>
        </w:rPr>
      </w:pPr>
      <w:r>
        <w:rPr>
          <w:rFonts w:ascii="仿宋" w:hAnsi="仿宋" w:eastAsia="仿宋"/>
          <w:sz w:val="24"/>
        </w:rPr>
        <w:t xml:space="preserve">4.2  </w:t>
      </w:r>
      <w:r>
        <w:rPr>
          <w:rFonts w:hint="eastAsia" w:ascii="仿宋" w:hAnsi="仿宋" w:eastAsia="仿宋"/>
          <w:sz w:val="24"/>
        </w:rPr>
        <w:t>对客户的虫害控制服务考虑甲方的情况，应与甲方商定服务时间。首次服务应在合同签订后的【</w:t>
      </w:r>
      <w:r>
        <w:rPr>
          <w:rFonts w:ascii="仿宋" w:hAnsi="仿宋" w:eastAsia="仿宋"/>
          <w:sz w:val="24"/>
        </w:rPr>
        <w:t>10</w:t>
      </w:r>
      <w:r>
        <w:rPr>
          <w:rFonts w:hint="eastAsia" w:ascii="仿宋" w:hAnsi="仿宋" w:eastAsia="仿宋"/>
          <w:sz w:val="24"/>
        </w:rPr>
        <w:t>】个工作日内启动，后续服务保证最多不超过</w:t>
      </w:r>
      <w:r>
        <w:rPr>
          <w:rFonts w:ascii="仿宋" w:hAnsi="仿宋" w:eastAsia="仿宋"/>
          <w:sz w:val="24"/>
        </w:rPr>
        <w:t>1</w:t>
      </w:r>
      <w:r>
        <w:rPr>
          <w:rFonts w:hint="eastAsia" w:ascii="仿宋" w:hAnsi="仿宋" w:eastAsia="仿宋"/>
          <w:sz w:val="24"/>
        </w:rPr>
        <w:t>个月内覆盖所有区域；</w:t>
      </w:r>
    </w:p>
    <w:p w14:paraId="444E13ED">
      <w:pPr>
        <w:spacing w:line="400" w:lineRule="exact"/>
        <w:jc w:val="left"/>
        <w:rPr>
          <w:rFonts w:ascii="仿宋" w:hAnsi="仿宋" w:eastAsia="仿宋"/>
          <w:sz w:val="24"/>
        </w:rPr>
      </w:pPr>
      <w:r>
        <w:rPr>
          <w:rFonts w:ascii="仿宋" w:hAnsi="仿宋" w:eastAsia="仿宋"/>
          <w:sz w:val="24"/>
        </w:rPr>
        <w:t xml:space="preserve">4.3  </w:t>
      </w:r>
      <w:r>
        <w:rPr>
          <w:rFonts w:hint="eastAsia" w:ascii="仿宋" w:hAnsi="仿宋" w:eastAsia="仿宋"/>
          <w:sz w:val="24"/>
        </w:rPr>
        <w:t>每次日常服务时，乙方对服务区域检查，对虫害侵害因素（包括建筑结构，环境卫生等方面）作详细的陈述并提出相关建议。</w:t>
      </w:r>
    </w:p>
    <w:p w14:paraId="444E13EE">
      <w:pPr>
        <w:spacing w:line="400" w:lineRule="exact"/>
        <w:jc w:val="left"/>
        <w:rPr>
          <w:rFonts w:ascii="仿宋" w:hAnsi="仿宋" w:eastAsia="仿宋"/>
          <w:sz w:val="24"/>
        </w:rPr>
      </w:pPr>
      <w:r>
        <w:rPr>
          <w:rFonts w:ascii="仿宋" w:hAnsi="仿宋" w:eastAsia="仿宋"/>
          <w:sz w:val="24"/>
        </w:rPr>
        <w:t xml:space="preserve">4.4  </w:t>
      </w:r>
      <w:r>
        <w:rPr>
          <w:rFonts w:hint="eastAsia" w:ascii="仿宋" w:hAnsi="仿宋" w:eastAsia="仿宋"/>
          <w:sz w:val="24"/>
        </w:rPr>
        <w:t>每次服务实施的具体工作时间与甲方协商决定，施工完毕，须由甲方指定的现场人员在服务单上签字后作为认可。</w:t>
      </w:r>
    </w:p>
    <w:p w14:paraId="444E13EF">
      <w:pPr>
        <w:spacing w:line="400" w:lineRule="exact"/>
        <w:jc w:val="left"/>
        <w:rPr>
          <w:rFonts w:ascii="仿宋" w:hAnsi="仿宋" w:eastAsia="仿宋"/>
          <w:sz w:val="24"/>
        </w:rPr>
      </w:pPr>
      <w:r>
        <w:rPr>
          <w:rFonts w:ascii="仿宋" w:hAnsi="仿宋" w:eastAsia="仿宋"/>
          <w:sz w:val="24"/>
        </w:rPr>
        <w:t xml:space="preserve">4.5  </w:t>
      </w:r>
      <w:r>
        <w:rPr>
          <w:rFonts w:hint="eastAsia" w:ascii="仿宋" w:hAnsi="仿宋" w:eastAsia="仿宋"/>
          <w:sz w:val="24"/>
        </w:rPr>
        <w:t>如遇紧急或者服务区域出现需要解决的情况，甲方有关管理人员随时通知乙方指定的工作联系人帮助解决，乙方应在接到通知后的【</w:t>
      </w:r>
      <w:r>
        <w:rPr>
          <w:rFonts w:ascii="仿宋" w:hAnsi="仿宋" w:eastAsia="仿宋"/>
          <w:sz w:val="24"/>
        </w:rPr>
        <w:t>8</w:t>
      </w:r>
      <w:r>
        <w:rPr>
          <w:rFonts w:hint="eastAsia" w:ascii="仿宋" w:hAnsi="仿宋" w:eastAsia="仿宋"/>
          <w:sz w:val="24"/>
        </w:rPr>
        <w:t>】小时内响应并到达现场处理。</w:t>
      </w:r>
    </w:p>
    <w:p w14:paraId="444E13F0">
      <w:pPr>
        <w:spacing w:line="400" w:lineRule="exact"/>
        <w:jc w:val="left"/>
        <w:rPr>
          <w:rFonts w:ascii="仿宋" w:hAnsi="仿宋" w:eastAsia="仿宋"/>
          <w:sz w:val="24"/>
        </w:rPr>
      </w:pPr>
      <w:r>
        <w:rPr>
          <w:rFonts w:ascii="仿宋" w:hAnsi="仿宋" w:eastAsia="仿宋"/>
          <w:sz w:val="24"/>
        </w:rPr>
        <w:t xml:space="preserve">4.6  </w:t>
      </w:r>
      <w:r>
        <w:rPr>
          <w:rFonts w:hint="eastAsia" w:ascii="仿宋" w:hAnsi="仿宋" w:eastAsia="仿宋"/>
          <w:sz w:val="24"/>
        </w:rPr>
        <w:t>在整个服务过程中，乙方将安排专人负责接受甲方的咨询和投诉，并及时向甲方反馈处理建议。</w:t>
      </w:r>
    </w:p>
    <w:p w14:paraId="444E13F1">
      <w:pPr>
        <w:spacing w:line="400" w:lineRule="exact"/>
        <w:jc w:val="left"/>
        <w:rPr>
          <w:rFonts w:ascii="仿宋" w:hAnsi="仿宋" w:eastAsia="仿宋"/>
          <w:sz w:val="24"/>
        </w:rPr>
      </w:pPr>
      <w:r>
        <w:rPr>
          <w:rFonts w:ascii="仿宋" w:hAnsi="仿宋" w:eastAsia="仿宋"/>
          <w:sz w:val="24"/>
        </w:rPr>
        <w:t xml:space="preserve">4.7  </w:t>
      </w:r>
      <w:r>
        <w:rPr>
          <w:rFonts w:hint="eastAsia" w:ascii="仿宋" w:hAnsi="仿宋" w:eastAsia="仿宋"/>
          <w:sz w:val="24"/>
        </w:rPr>
        <w:t>乙方提供的产品及服务必须符合政府相关规定，证照齐全，若因产品、服务质量或产品有关的文件缺陷导致的问题及损失由乙方承担，并且甲方有权解除合同。</w:t>
      </w:r>
    </w:p>
    <w:p w14:paraId="444E13F2">
      <w:pPr>
        <w:spacing w:line="400" w:lineRule="exact"/>
        <w:jc w:val="left"/>
        <w:rPr>
          <w:rFonts w:ascii="仿宋" w:hAnsi="仿宋" w:eastAsia="仿宋"/>
          <w:sz w:val="24"/>
        </w:rPr>
      </w:pPr>
      <w:r>
        <w:rPr>
          <w:rFonts w:ascii="仿宋" w:hAnsi="仿宋" w:eastAsia="仿宋"/>
          <w:sz w:val="24"/>
        </w:rPr>
        <w:t xml:space="preserve">4.8  </w:t>
      </w:r>
      <w:r>
        <w:rPr>
          <w:rFonts w:hint="eastAsia" w:ascii="仿宋" w:hAnsi="仿宋" w:eastAsia="仿宋"/>
          <w:sz w:val="24"/>
        </w:rPr>
        <w:t>乙方所提供的化学药物及器械对人、畜及甲方物品无害，在甲方完全配合乙方正常施工的条件下，如因化学药物及器械造成的损失，概由乙方负责。</w:t>
      </w:r>
    </w:p>
    <w:p w14:paraId="444E13F3">
      <w:pPr>
        <w:spacing w:line="400" w:lineRule="exact"/>
        <w:jc w:val="left"/>
        <w:rPr>
          <w:rFonts w:ascii="仿宋" w:hAnsi="仿宋" w:eastAsia="仿宋"/>
          <w:sz w:val="24"/>
        </w:rPr>
      </w:pPr>
      <w:r>
        <w:rPr>
          <w:rFonts w:ascii="仿宋" w:hAnsi="仿宋" w:eastAsia="仿宋"/>
          <w:sz w:val="24"/>
        </w:rPr>
        <w:t>4.9</w:t>
      </w:r>
      <w:r>
        <w:rPr>
          <w:rFonts w:hint="eastAsia" w:ascii="仿宋" w:hAnsi="仿宋" w:eastAsia="仿宋"/>
          <w:sz w:val="24"/>
        </w:rPr>
        <w:t>乙方不得将承担的服务项目以任何形式分包、转包给第三方，否则甲方有权立即解除本合同，并要求乙方返还违约期内的服务费，乙方还应按本合同约定承担解约违约金；若乙方的该等行为给甲方造成损失的，乙方应当全额赔偿。</w:t>
      </w:r>
    </w:p>
    <w:p w14:paraId="444E13F4">
      <w:pPr>
        <w:spacing w:line="400" w:lineRule="exact"/>
        <w:jc w:val="left"/>
        <w:rPr>
          <w:rFonts w:ascii="仿宋" w:hAnsi="仿宋" w:eastAsia="仿宋"/>
          <w:sz w:val="24"/>
        </w:rPr>
      </w:pPr>
      <w:r>
        <w:rPr>
          <w:rFonts w:ascii="仿宋" w:hAnsi="仿宋" w:eastAsia="仿宋"/>
          <w:sz w:val="24"/>
        </w:rPr>
        <w:t>4.10</w:t>
      </w:r>
      <w:r>
        <w:rPr>
          <w:rFonts w:hint="eastAsia" w:ascii="仿宋" w:hAnsi="仿宋" w:eastAsia="仿宋"/>
          <w:sz w:val="24"/>
        </w:rPr>
        <w:t>派驻至本项目的虫控消杀人员的工作服装由乙方统一提供；乙方公司派驻甲方的工作人员，应身着统一工作服和佩戴胸卡，并保证着装的整洁卫生，同时爱护自己的工装。</w:t>
      </w:r>
    </w:p>
    <w:p w14:paraId="444E13F5">
      <w:pPr>
        <w:spacing w:line="400" w:lineRule="exact"/>
        <w:jc w:val="left"/>
        <w:rPr>
          <w:rFonts w:ascii="仿宋" w:hAnsi="仿宋" w:eastAsia="仿宋"/>
          <w:sz w:val="24"/>
        </w:rPr>
      </w:pPr>
      <w:r>
        <w:rPr>
          <w:rFonts w:ascii="仿宋" w:hAnsi="仿宋" w:eastAsia="仿宋"/>
          <w:sz w:val="24"/>
        </w:rPr>
        <w:t>4.11</w:t>
      </w:r>
      <w:r>
        <w:rPr>
          <w:rFonts w:hint="eastAsia" w:ascii="仿宋" w:hAnsi="仿宋" w:eastAsia="仿宋"/>
          <w:sz w:val="24"/>
        </w:rPr>
        <w:t>乙方负责提供、保管虫控消杀所需的各种机械、设备、工具、材料、药剂等，并自行承担费用。乙方保证所使用的上述材料等必须符合国家和当地的相关规定及本合同约定，否则，对甲方或任何第三人所造成的一切人身伤害或财产损失，均由乙方负全部责任。</w:t>
      </w:r>
    </w:p>
    <w:p w14:paraId="444E13F6">
      <w:pPr>
        <w:spacing w:line="400" w:lineRule="exact"/>
        <w:jc w:val="center"/>
        <w:rPr>
          <w:rFonts w:ascii="仿宋" w:hAnsi="仿宋" w:eastAsia="仿宋"/>
          <w:bCs/>
          <w:sz w:val="24"/>
        </w:rPr>
      </w:pPr>
    </w:p>
    <w:p w14:paraId="444E13F7">
      <w:pPr>
        <w:numPr>
          <w:ilvl w:val="0"/>
          <w:numId w:val="7"/>
        </w:numPr>
        <w:spacing w:line="400" w:lineRule="exact"/>
        <w:jc w:val="center"/>
        <w:rPr>
          <w:rFonts w:ascii="仿宋" w:hAnsi="仿宋" w:eastAsia="仿宋"/>
          <w:bCs/>
          <w:sz w:val="24"/>
        </w:rPr>
      </w:pPr>
      <w:r>
        <w:rPr>
          <w:rFonts w:ascii="仿宋" w:hAnsi="仿宋" w:eastAsia="仿宋"/>
          <w:bCs/>
          <w:sz w:val="24"/>
        </w:rPr>
        <w:t xml:space="preserve"> </w:t>
      </w:r>
      <w:r>
        <w:rPr>
          <w:rFonts w:hint="eastAsia" w:ascii="仿宋" w:hAnsi="仿宋" w:eastAsia="仿宋"/>
          <w:bCs/>
          <w:sz w:val="24"/>
        </w:rPr>
        <w:t>关于健康安全</w:t>
      </w:r>
    </w:p>
    <w:p w14:paraId="444E13F8">
      <w:pPr>
        <w:spacing w:line="400" w:lineRule="exact"/>
        <w:rPr>
          <w:rFonts w:ascii="仿宋" w:hAnsi="仿宋" w:eastAsia="仿宋"/>
          <w:bCs/>
          <w:sz w:val="24"/>
        </w:rPr>
      </w:pPr>
    </w:p>
    <w:p w14:paraId="444E13F9">
      <w:pPr>
        <w:spacing w:line="400" w:lineRule="exact"/>
        <w:jc w:val="left"/>
        <w:rPr>
          <w:rFonts w:ascii="仿宋" w:hAnsi="仿宋" w:eastAsia="仿宋"/>
          <w:sz w:val="24"/>
        </w:rPr>
      </w:pPr>
      <w:r>
        <w:rPr>
          <w:rFonts w:ascii="仿宋" w:hAnsi="仿宋" w:eastAsia="仿宋"/>
          <w:sz w:val="24"/>
        </w:rPr>
        <w:t xml:space="preserve">5.1  </w:t>
      </w:r>
      <w:r>
        <w:rPr>
          <w:rFonts w:hint="eastAsia" w:ascii="仿宋" w:hAnsi="仿宋" w:eastAsia="仿宋"/>
          <w:sz w:val="24"/>
        </w:rPr>
        <w:t>甲方应该向乙方员工提醒在甲方场所工作时可能遇到的危险。</w:t>
      </w:r>
    </w:p>
    <w:p w14:paraId="444E13FA">
      <w:pPr>
        <w:spacing w:line="400" w:lineRule="exact"/>
        <w:jc w:val="left"/>
        <w:rPr>
          <w:rFonts w:ascii="仿宋" w:hAnsi="仿宋" w:eastAsia="仿宋"/>
          <w:sz w:val="24"/>
        </w:rPr>
      </w:pPr>
      <w:r>
        <w:rPr>
          <w:rFonts w:ascii="仿宋" w:hAnsi="仿宋" w:eastAsia="仿宋"/>
          <w:sz w:val="24"/>
        </w:rPr>
        <w:t xml:space="preserve">5.2  </w:t>
      </w:r>
      <w:r>
        <w:rPr>
          <w:rFonts w:hint="eastAsia" w:ascii="仿宋" w:hAnsi="仿宋" w:eastAsia="仿宋"/>
          <w:sz w:val="24"/>
        </w:rPr>
        <w:t>乙方在服务过程中，应就所服务的场所提出健康及安全方面的建议意见，并做出必要的警示，甲方需要严格遵守此类意见。</w:t>
      </w:r>
    </w:p>
    <w:p w14:paraId="444E13FC">
      <w:pPr>
        <w:tabs>
          <w:tab w:val="left" w:pos="0"/>
          <w:tab w:val="left" w:pos="1485"/>
        </w:tabs>
        <w:adjustRightInd w:val="0"/>
        <w:snapToGrid w:val="0"/>
        <w:spacing w:before="62" w:beforeLines="20" w:after="62" w:afterLines="20" w:line="400" w:lineRule="exact"/>
        <w:jc w:val="left"/>
        <w:rPr>
          <w:rFonts w:ascii="仿宋" w:hAnsi="仿宋" w:eastAsia="仿宋"/>
          <w:sz w:val="24"/>
        </w:rPr>
      </w:pPr>
      <w:r>
        <w:rPr>
          <w:rFonts w:ascii="仿宋" w:hAnsi="仿宋" w:eastAsia="仿宋"/>
          <w:sz w:val="24"/>
        </w:rPr>
        <w:t xml:space="preserve">5.3  </w:t>
      </w:r>
      <w:r>
        <w:rPr>
          <w:rFonts w:hint="eastAsia" w:ascii="仿宋" w:hAnsi="仿宋" w:eastAsia="仿宋"/>
          <w:sz w:val="24"/>
        </w:rPr>
        <w:t>乙方需确保现场作业过程安全、规范。乙方员工（包括但不限于乙方派驻至本项目从事虫控消杀服务人员）在工作期间发生伤亡（包括但不限于工伤）事故，全部责任和费用由乙方承担，如因此造成甲方损失的，乙方还应予以赔偿；如乙方员工的行为导致甲方财产损失或第三方伤害，乙方应承担全部责任并赔偿甲方因此遭受的一切损失；甲方除按照本合同约定向乙方支付日常服务费用以外，不代乙方承担任何劳动合同项下的义务。乙方人员在为甲方服务期间产生的一切劳动纠纷，均由乙方自行负责处理，与甲方无关，且乙方处理此等纠纷过程，不得影响本合同的正常履行。</w:t>
      </w:r>
    </w:p>
    <w:p w14:paraId="444E13FD">
      <w:pPr>
        <w:spacing w:line="380" w:lineRule="exact"/>
        <w:jc w:val="center"/>
        <w:rPr>
          <w:rFonts w:ascii="仿宋" w:hAnsi="仿宋" w:eastAsia="仿宋"/>
          <w:bCs/>
          <w:sz w:val="24"/>
        </w:rPr>
      </w:pPr>
    </w:p>
    <w:p w14:paraId="444E13FE">
      <w:pPr>
        <w:numPr>
          <w:ilvl w:val="0"/>
          <w:numId w:val="8"/>
        </w:numPr>
        <w:spacing w:line="380" w:lineRule="exact"/>
        <w:jc w:val="center"/>
        <w:rPr>
          <w:rFonts w:ascii="仿宋" w:hAnsi="仿宋" w:eastAsia="仿宋"/>
          <w:bCs/>
          <w:sz w:val="24"/>
        </w:rPr>
      </w:pPr>
      <w:r>
        <w:rPr>
          <w:rFonts w:ascii="仿宋" w:hAnsi="仿宋" w:eastAsia="仿宋"/>
          <w:bCs/>
          <w:sz w:val="24"/>
        </w:rPr>
        <w:t xml:space="preserve"> </w:t>
      </w:r>
      <w:r>
        <w:rPr>
          <w:rFonts w:hint="eastAsia" w:ascii="仿宋" w:hAnsi="仿宋" w:eastAsia="仿宋"/>
          <w:bCs/>
          <w:sz w:val="24"/>
        </w:rPr>
        <w:t>合同终止</w:t>
      </w:r>
    </w:p>
    <w:p w14:paraId="444E13FF">
      <w:pPr>
        <w:spacing w:line="380" w:lineRule="exact"/>
        <w:rPr>
          <w:rFonts w:ascii="仿宋" w:hAnsi="仿宋" w:eastAsia="仿宋"/>
          <w:bCs/>
          <w:sz w:val="24"/>
        </w:rPr>
      </w:pPr>
    </w:p>
    <w:p w14:paraId="444E1400">
      <w:pPr>
        <w:spacing w:line="380" w:lineRule="exact"/>
        <w:jc w:val="left"/>
        <w:rPr>
          <w:rFonts w:ascii="仿宋" w:hAnsi="仿宋" w:eastAsia="仿宋"/>
          <w:sz w:val="24"/>
        </w:rPr>
      </w:pPr>
      <w:r>
        <w:rPr>
          <w:rFonts w:ascii="仿宋" w:hAnsi="仿宋" w:eastAsia="仿宋"/>
          <w:sz w:val="24"/>
        </w:rPr>
        <w:t xml:space="preserve">6.1  </w:t>
      </w:r>
      <w:r>
        <w:rPr>
          <w:rFonts w:hint="eastAsia" w:ascii="仿宋" w:hAnsi="仿宋" w:eastAsia="仿宋"/>
          <w:sz w:val="24"/>
        </w:rPr>
        <w:t>合同有效期内若有下列情况之一，任何一方有权终止合同。</w:t>
      </w:r>
    </w:p>
    <w:p w14:paraId="444E1401">
      <w:pPr>
        <w:numPr>
          <w:ilvl w:val="0"/>
          <w:numId w:val="5"/>
        </w:numPr>
        <w:spacing w:line="380" w:lineRule="exact"/>
        <w:jc w:val="left"/>
        <w:rPr>
          <w:rFonts w:ascii="仿宋" w:hAnsi="仿宋" w:eastAsia="仿宋"/>
          <w:sz w:val="24"/>
        </w:rPr>
      </w:pPr>
      <w:r>
        <w:rPr>
          <w:rFonts w:ascii="仿宋" w:hAnsi="仿宋" w:eastAsia="仿宋"/>
          <w:sz w:val="24"/>
        </w:rPr>
        <w:t xml:space="preserve"> </w:t>
      </w:r>
      <w:r>
        <w:rPr>
          <w:rFonts w:hint="eastAsia" w:ascii="仿宋" w:hAnsi="仿宋" w:eastAsia="仿宋"/>
          <w:sz w:val="24"/>
        </w:rPr>
        <w:t>任何一方没有遵从和履行本合同中的规定，而致对方发生重大损失或影响的。</w:t>
      </w:r>
    </w:p>
    <w:p w14:paraId="444E1402">
      <w:pPr>
        <w:numPr>
          <w:ilvl w:val="0"/>
          <w:numId w:val="5"/>
        </w:numPr>
        <w:spacing w:line="380" w:lineRule="exact"/>
        <w:jc w:val="left"/>
        <w:rPr>
          <w:rFonts w:ascii="仿宋" w:hAnsi="仿宋" w:eastAsia="仿宋"/>
          <w:sz w:val="24"/>
        </w:rPr>
      </w:pPr>
      <w:r>
        <w:rPr>
          <w:rFonts w:hint="eastAsia" w:ascii="仿宋" w:hAnsi="仿宋" w:eastAsia="仿宋"/>
          <w:sz w:val="24"/>
        </w:rPr>
        <w:t>本合同列明的其他原因。</w:t>
      </w:r>
    </w:p>
    <w:p w14:paraId="444E1403">
      <w:pPr>
        <w:spacing w:line="380" w:lineRule="exact"/>
        <w:jc w:val="left"/>
        <w:rPr>
          <w:rFonts w:ascii="仿宋" w:hAnsi="仿宋" w:eastAsia="仿宋"/>
          <w:sz w:val="24"/>
        </w:rPr>
      </w:pPr>
      <w:r>
        <w:rPr>
          <w:rFonts w:ascii="仿宋" w:hAnsi="仿宋" w:eastAsia="仿宋"/>
          <w:sz w:val="24"/>
        </w:rPr>
        <w:t xml:space="preserve">6.2  </w:t>
      </w:r>
      <w:r>
        <w:rPr>
          <w:rFonts w:hint="eastAsia" w:ascii="仿宋" w:hAnsi="仿宋" w:eastAsia="仿宋"/>
          <w:sz w:val="24"/>
        </w:rPr>
        <w:t>甲乙双方按本合同约定条件终止合同的，需要提前一个月以书面形式告知对方，以便对方及时作出相应安排。</w:t>
      </w:r>
    </w:p>
    <w:p w14:paraId="444E1404">
      <w:pPr>
        <w:spacing w:line="380" w:lineRule="exact"/>
        <w:jc w:val="center"/>
        <w:rPr>
          <w:rFonts w:ascii="仿宋" w:hAnsi="仿宋" w:eastAsia="仿宋"/>
          <w:bCs/>
          <w:sz w:val="24"/>
        </w:rPr>
      </w:pPr>
    </w:p>
    <w:p w14:paraId="444E1405">
      <w:pPr>
        <w:numPr>
          <w:ilvl w:val="0"/>
          <w:numId w:val="9"/>
        </w:numPr>
        <w:spacing w:line="380" w:lineRule="exact"/>
        <w:jc w:val="center"/>
        <w:rPr>
          <w:rFonts w:ascii="仿宋" w:hAnsi="仿宋" w:eastAsia="仿宋"/>
          <w:bCs/>
          <w:sz w:val="24"/>
        </w:rPr>
      </w:pPr>
      <w:r>
        <w:rPr>
          <w:rFonts w:ascii="仿宋" w:hAnsi="仿宋" w:eastAsia="仿宋"/>
          <w:bCs/>
          <w:sz w:val="24"/>
        </w:rPr>
        <w:t xml:space="preserve"> </w:t>
      </w:r>
      <w:r>
        <w:rPr>
          <w:rFonts w:hint="eastAsia" w:ascii="仿宋" w:hAnsi="仿宋" w:eastAsia="仿宋"/>
          <w:bCs/>
          <w:sz w:val="24"/>
        </w:rPr>
        <w:t>不可抗力</w:t>
      </w:r>
    </w:p>
    <w:p w14:paraId="444E1406">
      <w:pPr>
        <w:spacing w:line="380" w:lineRule="exact"/>
        <w:rPr>
          <w:rFonts w:ascii="仿宋" w:hAnsi="仿宋" w:eastAsia="仿宋"/>
          <w:bCs/>
          <w:sz w:val="24"/>
        </w:rPr>
      </w:pPr>
    </w:p>
    <w:p w14:paraId="444E1407">
      <w:pPr>
        <w:spacing w:line="380" w:lineRule="exact"/>
        <w:jc w:val="left"/>
        <w:rPr>
          <w:rFonts w:ascii="仿宋" w:hAnsi="仿宋" w:eastAsia="仿宋"/>
          <w:sz w:val="24"/>
        </w:rPr>
      </w:pPr>
      <w:r>
        <w:rPr>
          <w:rFonts w:ascii="仿宋" w:hAnsi="仿宋" w:eastAsia="仿宋"/>
          <w:sz w:val="24"/>
        </w:rPr>
        <w:t xml:space="preserve">7.1  </w:t>
      </w:r>
      <w:r>
        <w:rPr>
          <w:rFonts w:hint="eastAsia" w:ascii="仿宋" w:hAnsi="仿宋" w:eastAsia="仿宋"/>
          <w:sz w:val="24"/>
        </w:rPr>
        <w:t>不可抗力，指不能预见、避免或克服的事件，包括但不限于天灾、自然灾难、罢工或其他争议、战争、封锁、暴动或环境灾难、政府禁运、限制、瘟疫或其他任何原因导致。</w:t>
      </w:r>
    </w:p>
    <w:p w14:paraId="444E1408">
      <w:pPr>
        <w:spacing w:line="380" w:lineRule="exact"/>
        <w:jc w:val="left"/>
        <w:rPr>
          <w:rFonts w:ascii="仿宋" w:hAnsi="仿宋" w:eastAsia="仿宋"/>
          <w:sz w:val="24"/>
        </w:rPr>
      </w:pPr>
      <w:r>
        <w:rPr>
          <w:rFonts w:ascii="仿宋" w:hAnsi="仿宋" w:eastAsia="仿宋"/>
          <w:sz w:val="24"/>
        </w:rPr>
        <w:t xml:space="preserve">7.2  </w:t>
      </w:r>
      <w:r>
        <w:rPr>
          <w:rFonts w:hint="eastAsia" w:ascii="仿宋" w:hAnsi="仿宋" w:eastAsia="仿宋"/>
          <w:sz w:val="24"/>
        </w:rPr>
        <w:t>由于不可抗力事件发生致合同不能履行，双方免除责任，损失各自承担。</w:t>
      </w:r>
    </w:p>
    <w:p w14:paraId="444E1409">
      <w:pPr>
        <w:spacing w:line="380" w:lineRule="exact"/>
        <w:jc w:val="left"/>
        <w:rPr>
          <w:rFonts w:ascii="仿宋" w:hAnsi="仿宋" w:eastAsia="仿宋"/>
          <w:sz w:val="24"/>
        </w:rPr>
      </w:pPr>
      <w:r>
        <w:rPr>
          <w:rFonts w:ascii="仿宋" w:hAnsi="仿宋" w:eastAsia="仿宋"/>
          <w:sz w:val="24"/>
        </w:rPr>
        <w:t xml:space="preserve">7.3  </w:t>
      </w:r>
      <w:r>
        <w:rPr>
          <w:rFonts w:hint="eastAsia" w:ascii="仿宋" w:hAnsi="仿宋" w:eastAsia="仿宋"/>
          <w:sz w:val="24"/>
        </w:rPr>
        <w:t>遭遇不可抗力影响时，任何一方应尽量采取措施避免不可抗力对合同履行的影响。</w:t>
      </w:r>
    </w:p>
    <w:p w14:paraId="444E140A">
      <w:pPr>
        <w:spacing w:line="380" w:lineRule="exact"/>
        <w:jc w:val="left"/>
        <w:rPr>
          <w:rFonts w:ascii="仿宋" w:hAnsi="仿宋" w:eastAsia="仿宋"/>
          <w:sz w:val="24"/>
        </w:rPr>
      </w:pPr>
    </w:p>
    <w:p w14:paraId="444E140B">
      <w:pPr>
        <w:numPr>
          <w:ilvl w:val="0"/>
          <w:numId w:val="9"/>
        </w:numPr>
        <w:spacing w:line="380" w:lineRule="exact"/>
        <w:jc w:val="center"/>
        <w:rPr>
          <w:rFonts w:ascii="仿宋" w:hAnsi="仿宋" w:eastAsia="仿宋"/>
          <w:bCs/>
          <w:sz w:val="24"/>
        </w:rPr>
      </w:pPr>
      <w:r>
        <w:rPr>
          <w:rFonts w:ascii="仿宋" w:hAnsi="仿宋" w:eastAsia="仿宋"/>
          <w:bCs/>
          <w:sz w:val="24"/>
        </w:rPr>
        <w:t xml:space="preserve"> </w:t>
      </w:r>
      <w:r>
        <w:rPr>
          <w:rFonts w:hint="eastAsia" w:ascii="仿宋" w:hAnsi="仿宋" w:eastAsia="仿宋"/>
          <w:bCs/>
          <w:sz w:val="24"/>
        </w:rPr>
        <w:t>保密</w:t>
      </w:r>
    </w:p>
    <w:p w14:paraId="444E140C">
      <w:pPr>
        <w:spacing w:line="380" w:lineRule="exact"/>
        <w:rPr>
          <w:rFonts w:ascii="仿宋" w:hAnsi="仿宋" w:eastAsia="仿宋"/>
          <w:bCs/>
          <w:sz w:val="24"/>
        </w:rPr>
      </w:pPr>
    </w:p>
    <w:p w14:paraId="444E140D">
      <w:pPr>
        <w:spacing w:line="380" w:lineRule="exact"/>
        <w:jc w:val="left"/>
        <w:rPr>
          <w:rFonts w:ascii="仿宋" w:hAnsi="仿宋" w:eastAsia="仿宋"/>
          <w:sz w:val="24"/>
        </w:rPr>
      </w:pPr>
      <w:r>
        <w:rPr>
          <w:rFonts w:ascii="仿宋" w:hAnsi="仿宋" w:eastAsia="仿宋"/>
          <w:sz w:val="24"/>
        </w:rPr>
        <w:t xml:space="preserve">8.1  </w:t>
      </w:r>
      <w:r>
        <w:rPr>
          <w:rFonts w:hint="eastAsia" w:ascii="仿宋" w:hAnsi="仿宋" w:eastAsia="仿宋"/>
          <w:sz w:val="24"/>
        </w:rPr>
        <w:t>对属于对方的机密资料严格保密，并审慎处理属于对方的机密资料。</w:t>
      </w:r>
    </w:p>
    <w:p w14:paraId="444E140E">
      <w:pPr>
        <w:spacing w:line="380" w:lineRule="exact"/>
        <w:jc w:val="left"/>
        <w:rPr>
          <w:rFonts w:ascii="仿宋" w:hAnsi="仿宋" w:eastAsia="仿宋"/>
          <w:sz w:val="24"/>
        </w:rPr>
      </w:pPr>
      <w:r>
        <w:rPr>
          <w:rFonts w:ascii="仿宋" w:hAnsi="仿宋" w:eastAsia="仿宋"/>
          <w:sz w:val="24"/>
        </w:rPr>
        <w:t xml:space="preserve">8.2  </w:t>
      </w:r>
      <w:r>
        <w:rPr>
          <w:rFonts w:hint="eastAsia" w:ascii="仿宋" w:hAnsi="仿宋" w:eastAsia="仿宋"/>
          <w:sz w:val="24"/>
        </w:rPr>
        <w:t>未征得对方同意的情况下，不得向任何人员全部或部分披露对方的机密资料，应当知道有关机密资料的情况除外。</w:t>
      </w:r>
    </w:p>
    <w:p w14:paraId="444E140F">
      <w:pPr>
        <w:spacing w:line="380" w:lineRule="exact"/>
        <w:jc w:val="left"/>
        <w:rPr>
          <w:rFonts w:ascii="仿宋" w:hAnsi="仿宋" w:eastAsia="仿宋"/>
          <w:sz w:val="24"/>
        </w:rPr>
      </w:pPr>
      <w:r>
        <w:rPr>
          <w:rFonts w:ascii="仿宋" w:hAnsi="仿宋" w:eastAsia="仿宋"/>
          <w:sz w:val="24"/>
        </w:rPr>
        <w:t xml:space="preserve">8.3  </w:t>
      </w:r>
      <w:r>
        <w:rPr>
          <w:rFonts w:hint="eastAsia" w:ascii="仿宋" w:hAnsi="仿宋" w:eastAsia="仿宋"/>
          <w:sz w:val="24"/>
        </w:rPr>
        <w:t>在本合同期届满后，任何一方不得使用对方资料，令自己或第三方获益。</w:t>
      </w:r>
    </w:p>
    <w:p w14:paraId="444E1410">
      <w:pPr>
        <w:spacing w:line="380" w:lineRule="exact"/>
        <w:jc w:val="center"/>
        <w:rPr>
          <w:rFonts w:ascii="仿宋" w:hAnsi="仿宋" w:eastAsia="仿宋"/>
          <w:bCs/>
          <w:sz w:val="24"/>
        </w:rPr>
      </w:pPr>
    </w:p>
    <w:p w14:paraId="444E1411">
      <w:pPr>
        <w:spacing w:line="380" w:lineRule="exact"/>
        <w:jc w:val="left"/>
        <w:rPr>
          <w:rFonts w:ascii="仿宋" w:hAnsi="仿宋" w:eastAsia="仿宋"/>
          <w:sz w:val="24"/>
        </w:rPr>
      </w:pPr>
    </w:p>
    <w:p w14:paraId="444E1412">
      <w:pPr>
        <w:spacing w:line="380" w:lineRule="exact"/>
        <w:jc w:val="center"/>
        <w:rPr>
          <w:rFonts w:ascii="仿宋" w:hAnsi="仿宋" w:eastAsia="仿宋"/>
          <w:bCs/>
          <w:sz w:val="24"/>
        </w:rPr>
      </w:pPr>
      <w:r>
        <w:rPr>
          <w:rFonts w:hint="eastAsia" w:ascii="仿宋" w:hAnsi="仿宋" w:eastAsia="仿宋"/>
          <w:bCs/>
          <w:sz w:val="24"/>
        </w:rPr>
        <w:t>第九章</w:t>
      </w:r>
      <w:r>
        <w:rPr>
          <w:rFonts w:ascii="仿宋" w:hAnsi="仿宋" w:eastAsia="仿宋"/>
          <w:bCs/>
          <w:sz w:val="24"/>
        </w:rPr>
        <w:t xml:space="preserve"> </w:t>
      </w:r>
      <w:r>
        <w:rPr>
          <w:rFonts w:hint="eastAsia" w:ascii="仿宋" w:hAnsi="仿宋" w:eastAsia="仿宋"/>
          <w:bCs/>
          <w:sz w:val="24"/>
        </w:rPr>
        <w:t>争议解决</w:t>
      </w:r>
    </w:p>
    <w:p w14:paraId="444E1413">
      <w:pPr>
        <w:spacing w:line="380" w:lineRule="exact"/>
        <w:rPr>
          <w:rFonts w:ascii="仿宋" w:hAnsi="仿宋" w:eastAsia="仿宋"/>
          <w:bCs/>
          <w:sz w:val="24"/>
        </w:rPr>
      </w:pPr>
    </w:p>
    <w:p w14:paraId="444E1414">
      <w:pPr>
        <w:spacing w:line="380" w:lineRule="exact"/>
        <w:jc w:val="left"/>
        <w:rPr>
          <w:rFonts w:ascii="仿宋" w:hAnsi="仿宋" w:eastAsia="仿宋"/>
          <w:sz w:val="24"/>
        </w:rPr>
      </w:pPr>
      <w:r>
        <w:rPr>
          <w:rFonts w:hint="eastAsia" w:ascii="仿宋" w:hAnsi="仿宋" w:eastAsia="仿宋"/>
          <w:sz w:val="24"/>
        </w:rPr>
        <w:t>因本合同引发的相关争议，双方友好协商，协商不成，任何一方可向甲方所在地有管辖权的人民法院提起诉讼。</w:t>
      </w:r>
    </w:p>
    <w:p w14:paraId="444E1415">
      <w:pPr>
        <w:spacing w:line="380" w:lineRule="exact"/>
        <w:jc w:val="left"/>
        <w:rPr>
          <w:rFonts w:ascii="仿宋" w:hAnsi="仿宋" w:eastAsia="仿宋"/>
          <w:sz w:val="24"/>
        </w:rPr>
      </w:pPr>
    </w:p>
    <w:p w14:paraId="444E1416">
      <w:pPr>
        <w:spacing w:line="380" w:lineRule="exact"/>
        <w:jc w:val="center"/>
        <w:rPr>
          <w:rFonts w:ascii="仿宋" w:hAnsi="仿宋" w:eastAsia="仿宋"/>
          <w:bCs/>
          <w:sz w:val="24"/>
        </w:rPr>
      </w:pPr>
      <w:r>
        <w:rPr>
          <w:rFonts w:hint="eastAsia" w:ascii="仿宋" w:hAnsi="仿宋" w:eastAsia="仿宋"/>
          <w:bCs/>
          <w:sz w:val="24"/>
        </w:rPr>
        <w:t>第十章</w:t>
      </w:r>
      <w:r>
        <w:rPr>
          <w:rFonts w:ascii="仿宋" w:hAnsi="仿宋" w:eastAsia="仿宋"/>
          <w:bCs/>
          <w:sz w:val="24"/>
        </w:rPr>
        <w:t xml:space="preserve"> </w:t>
      </w:r>
      <w:r>
        <w:rPr>
          <w:rFonts w:hint="eastAsia" w:ascii="仿宋" w:hAnsi="仿宋" w:eastAsia="仿宋"/>
          <w:bCs/>
          <w:sz w:val="24"/>
        </w:rPr>
        <w:t>违约责任</w:t>
      </w:r>
    </w:p>
    <w:p w14:paraId="444E1417">
      <w:pPr>
        <w:spacing w:line="380" w:lineRule="exact"/>
        <w:rPr>
          <w:rFonts w:ascii="仿宋" w:hAnsi="仿宋" w:eastAsia="仿宋"/>
          <w:bCs/>
          <w:sz w:val="24"/>
        </w:rPr>
      </w:pPr>
    </w:p>
    <w:p w14:paraId="444E1418">
      <w:pPr>
        <w:spacing w:line="380" w:lineRule="exact"/>
        <w:jc w:val="left"/>
        <w:rPr>
          <w:rFonts w:ascii="仿宋" w:hAnsi="仿宋" w:eastAsia="仿宋"/>
          <w:sz w:val="24"/>
        </w:rPr>
      </w:pPr>
      <w:r>
        <w:rPr>
          <w:rFonts w:hint="eastAsia" w:ascii="仿宋" w:hAnsi="仿宋" w:eastAsia="仿宋"/>
          <w:sz w:val="24"/>
        </w:rPr>
        <w:t>任何一方违反本合同任何一条均属违约，违约方除需要向守约方支付本合同总金额的</w:t>
      </w:r>
      <w:r>
        <w:rPr>
          <w:rFonts w:ascii="仿宋" w:hAnsi="仿宋" w:eastAsia="仿宋"/>
          <w:sz w:val="24"/>
        </w:rPr>
        <w:t>10%</w:t>
      </w:r>
      <w:r>
        <w:rPr>
          <w:rFonts w:hint="eastAsia" w:ascii="仿宋" w:hAnsi="仿宋" w:eastAsia="仿宋"/>
          <w:sz w:val="24"/>
        </w:rPr>
        <w:t>的违约金外，给守约方造成经济损失的，还需要赔偿损失，守约方有权单方面解除合同，本合同所述损失包括但不限于直接损失、间接损失、诉讼费、律师费、担保费等。</w:t>
      </w:r>
    </w:p>
    <w:p w14:paraId="444E1419">
      <w:pPr>
        <w:spacing w:line="380" w:lineRule="exact"/>
        <w:jc w:val="left"/>
        <w:rPr>
          <w:rFonts w:ascii="仿宋" w:hAnsi="仿宋" w:eastAsia="仿宋"/>
          <w:sz w:val="24"/>
        </w:rPr>
      </w:pPr>
    </w:p>
    <w:p w14:paraId="444E141A">
      <w:pPr>
        <w:spacing w:line="380" w:lineRule="exact"/>
        <w:jc w:val="center"/>
        <w:rPr>
          <w:rFonts w:ascii="仿宋" w:hAnsi="仿宋" w:eastAsia="仿宋"/>
          <w:bCs/>
          <w:sz w:val="24"/>
        </w:rPr>
      </w:pPr>
      <w:r>
        <w:rPr>
          <w:rFonts w:hint="eastAsia" w:ascii="仿宋" w:hAnsi="仿宋" w:eastAsia="仿宋"/>
          <w:bCs/>
          <w:sz w:val="24"/>
        </w:rPr>
        <w:t>第十一章</w:t>
      </w:r>
      <w:r>
        <w:rPr>
          <w:rFonts w:ascii="仿宋" w:hAnsi="仿宋" w:eastAsia="仿宋"/>
          <w:bCs/>
          <w:sz w:val="24"/>
        </w:rPr>
        <w:t xml:space="preserve"> </w:t>
      </w:r>
      <w:r>
        <w:rPr>
          <w:rFonts w:hint="eastAsia" w:ascii="仿宋" w:hAnsi="仿宋" w:eastAsia="仿宋"/>
          <w:bCs/>
          <w:sz w:val="24"/>
        </w:rPr>
        <w:t>其他</w:t>
      </w:r>
    </w:p>
    <w:p w14:paraId="444E141B">
      <w:pPr>
        <w:spacing w:line="380" w:lineRule="exact"/>
        <w:rPr>
          <w:rFonts w:ascii="仿宋" w:hAnsi="仿宋" w:eastAsia="仿宋"/>
          <w:bCs/>
          <w:sz w:val="24"/>
        </w:rPr>
      </w:pPr>
    </w:p>
    <w:p w14:paraId="444E141C">
      <w:pPr>
        <w:spacing w:line="380" w:lineRule="exact"/>
        <w:jc w:val="left"/>
        <w:rPr>
          <w:rFonts w:ascii="仿宋" w:hAnsi="仿宋" w:eastAsia="仿宋"/>
          <w:sz w:val="24"/>
        </w:rPr>
      </w:pPr>
      <w:r>
        <w:rPr>
          <w:rFonts w:ascii="仿宋" w:hAnsi="仿宋" w:eastAsia="仿宋"/>
          <w:sz w:val="24"/>
        </w:rPr>
        <w:t xml:space="preserve">9.1  </w:t>
      </w:r>
      <w:r>
        <w:rPr>
          <w:rFonts w:hint="eastAsia" w:ascii="仿宋" w:hAnsi="仿宋" w:eastAsia="仿宋"/>
          <w:sz w:val="24"/>
        </w:rPr>
        <w:t>本合同双方签字盖章后生效。</w:t>
      </w:r>
    </w:p>
    <w:p w14:paraId="444E141D">
      <w:pPr>
        <w:spacing w:line="380" w:lineRule="exact"/>
        <w:jc w:val="left"/>
        <w:rPr>
          <w:rFonts w:ascii="仿宋" w:hAnsi="仿宋" w:eastAsia="仿宋"/>
          <w:sz w:val="24"/>
        </w:rPr>
      </w:pPr>
      <w:r>
        <w:rPr>
          <w:rFonts w:ascii="仿宋" w:hAnsi="仿宋" w:eastAsia="仿宋"/>
          <w:sz w:val="24"/>
        </w:rPr>
        <w:t xml:space="preserve">9.2  </w:t>
      </w:r>
      <w:r>
        <w:rPr>
          <w:rFonts w:hint="eastAsia" w:ascii="仿宋" w:hAnsi="仿宋" w:eastAsia="仿宋"/>
          <w:sz w:val="24"/>
        </w:rPr>
        <w:t>本合同附件是合同的一部分，与本合同具有同等法律效力。</w:t>
      </w:r>
    </w:p>
    <w:p w14:paraId="444E141E">
      <w:pPr>
        <w:spacing w:line="380" w:lineRule="exact"/>
        <w:jc w:val="left"/>
        <w:rPr>
          <w:rFonts w:ascii="仿宋" w:hAnsi="仿宋" w:eastAsia="仿宋"/>
          <w:sz w:val="24"/>
        </w:rPr>
      </w:pPr>
      <w:r>
        <w:rPr>
          <w:rFonts w:ascii="仿宋" w:hAnsi="仿宋" w:eastAsia="仿宋"/>
          <w:sz w:val="24"/>
        </w:rPr>
        <w:t xml:space="preserve">9.3  </w:t>
      </w:r>
      <w:r>
        <w:rPr>
          <w:rFonts w:hint="eastAsia" w:ascii="仿宋" w:hAnsi="仿宋" w:eastAsia="仿宋"/>
          <w:sz w:val="24"/>
        </w:rPr>
        <w:t>本合同未尽事宜，双方可协商并签订补充协议。</w:t>
      </w:r>
    </w:p>
    <w:p w14:paraId="444E141F">
      <w:pPr>
        <w:spacing w:line="380" w:lineRule="exact"/>
        <w:jc w:val="left"/>
        <w:rPr>
          <w:rFonts w:ascii="仿宋" w:hAnsi="仿宋" w:eastAsia="仿宋"/>
          <w:sz w:val="24"/>
        </w:rPr>
      </w:pPr>
      <w:r>
        <w:rPr>
          <w:rFonts w:ascii="仿宋" w:hAnsi="仿宋" w:eastAsia="仿宋"/>
          <w:sz w:val="24"/>
        </w:rPr>
        <w:t xml:space="preserve">9.4  </w:t>
      </w:r>
      <w:r>
        <w:rPr>
          <w:rFonts w:hint="eastAsia" w:ascii="仿宋" w:hAnsi="仿宋" w:eastAsia="仿宋"/>
          <w:sz w:val="24"/>
        </w:rPr>
        <w:t>任何一方在未得到对方书面同意前，不得转让合同。</w:t>
      </w:r>
    </w:p>
    <w:p w14:paraId="444E1420">
      <w:pPr>
        <w:spacing w:line="380" w:lineRule="exact"/>
        <w:rPr>
          <w:rFonts w:ascii="仿宋" w:hAnsi="仿宋" w:eastAsia="仿宋" w:cs="Arial"/>
          <w:sz w:val="24"/>
        </w:rPr>
      </w:pPr>
      <w:r>
        <w:rPr>
          <w:rFonts w:ascii="仿宋" w:hAnsi="仿宋" w:eastAsia="仿宋"/>
          <w:sz w:val="24"/>
        </w:rPr>
        <w:t xml:space="preserve">9.5  </w:t>
      </w:r>
      <w:r>
        <w:rPr>
          <w:rFonts w:hint="eastAsia" w:ascii="仿宋" w:hAnsi="仿宋" w:eastAsia="仿宋"/>
          <w:sz w:val="24"/>
        </w:rPr>
        <w:t>本协议自双方盖章之日起生效；一式叁份，甲方贰份，乙方壹份，具有同等法律效力。</w:t>
      </w:r>
    </w:p>
    <w:p w14:paraId="444E1421">
      <w:pPr>
        <w:spacing w:line="380" w:lineRule="exact"/>
        <w:rPr>
          <w:rFonts w:ascii="仿宋" w:hAnsi="仿宋" w:eastAsia="仿宋"/>
          <w:bCs/>
          <w:sz w:val="24"/>
        </w:rPr>
      </w:pPr>
    </w:p>
    <w:p w14:paraId="444E1422">
      <w:pPr>
        <w:spacing w:line="380" w:lineRule="exact"/>
        <w:jc w:val="center"/>
        <w:rPr>
          <w:rFonts w:ascii="仿宋" w:hAnsi="仿宋" w:eastAsia="仿宋"/>
          <w:bCs/>
          <w:sz w:val="24"/>
        </w:rPr>
      </w:pPr>
      <w:r>
        <w:rPr>
          <w:rFonts w:hint="eastAsia" w:ascii="仿宋" w:hAnsi="仿宋" w:eastAsia="仿宋"/>
          <w:bCs/>
          <w:sz w:val="24"/>
        </w:rPr>
        <w:t>第十二章</w:t>
      </w:r>
      <w:r>
        <w:rPr>
          <w:rFonts w:ascii="仿宋" w:hAnsi="仿宋" w:eastAsia="仿宋"/>
          <w:bCs/>
          <w:sz w:val="24"/>
        </w:rPr>
        <w:t xml:space="preserve"> </w:t>
      </w:r>
      <w:r>
        <w:rPr>
          <w:rFonts w:hint="eastAsia" w:ascii="仿宋" w:hAnsi="仿宋" w:eastAsia="仿宋"/>
          <w:bCs/>
          <w:sz w:val="24"/>
        </w:rPr>
        <w:t>相关定义</w:t>
      </w:r>
    </w:p>
    <w:p w14:paraId="444E1423">
      <w:pPr>
        <w:spacing w:line="380" w:lineRule="exact"/>
        <w:rPr>
          <w:rFonts w:ascii="仿宋" w:hAnsi="仿宋" w:eastAsia="仿宋"/>
          <w:bCs/>
          <w:sz w:val="24"/>
        </w:rPr>
      </w:pPr>
    </w:p>
    <w:p w14:paraId="444E1424">
      <w:pPr>
        <w:spacing w:line="380" w:lineRule="exact"/>
        <w:jc w:val="left"/>
        <w:rPr>
          <w:rFonts w:ascii="仿宋" w:hAnsi="仿宋" w:eastAsia="仿宋"/>
          <w:sz w:val="24"/>
        </w:rPr>
      </w:pPr>
      <w:r>
        <w:rPr>
          <w:rFonts w:ascii="仿宋" w:hAnsi="仿宋" w:eastAsia="仿宋"/>
          <w:sz w:val="24"/>
        </w:rPr>
        <w:t xml:space="preserve">10.1  </w:t>
      </w:r>
      <w:r>
        <w:rPr>
          <w:rFonts w:hint="eastAsia" w:ascii="仿宋" w:hAnsi="仿宋" w:eastAsia="仿宋"/>
          <w:sz w:val="24"/>
        </w:rPr>
        <w:t>机密资料，指一方因签订或履行本合同时，所取得的或知悉有关对方的业</w:t>
      </w:r>
    </w:p>
    <w:p w14:paraId="444E1425">
      <w:pPr>
        <w:spacing w:line="380" w:lineRule="exact"/>
        <w:jc w:val="left"/>
        <w:rPr>
          <w:rFonts w:ascii="仿宋" w:hAnsi="仿宋" w:eastAsia="仿宋"/>
          <w:sz w:val="24"/>
        </w:rPr>
      </w:pPr>
      <w:r>
        <w:rPr>
          <w:rFonts w:hint="eastAsia" w:ascii="仿宋" w:hAnsi="仿宋" w:eastAsia="仿宋"/>
          <w:sz w:val="24"/>
        </w:rPr>
        <w:t>务或事务的资料（包括书面、电子版本、口头形式的）。</w:t>
      </w:r>
    </w:p>
    <w:p w14:paraId="444E1426">
      <w:pPr>
        <w:spacing w:line="380" w:lineRule="exact"/>
        <w:jc w:val="left"/>
        <w:rPr>
          <w:rFonts w:ascii="仿宋" w:hAnsi="仿宋" w:eastAsia="仿宋"/>
          <w:sz w:val="24"/>
        </w:rPr>
      </w:pPr>
      <w:r>
        <w:rPr>
          <w:rFonts w:ascii="仿宋" w:hAnsi="仿宋" w:eastAsia="仿宋"/>
          <w:sz w:val="24"/>
        </w:rPr>
        <w:t xml:space="preserve">10.2  </w:t>
      </w:r>
      <w:r>
        <w:rPr>
          <w:rFonts w:hint="eastAsia" w:ascii="仿宋" w:hAnsi="仿宋" w:eastAsia="仿宋"/>
          <w:sz w:val="24"/>
        </w:rPr>
        <w:t>服务指列于本合同内，乙方向甲方提供的服务。</w:t>
      </w:r>
    </w:p>
    <w:p w14:paraId="444E1427">
      <w:pPr>
        <w:spacing w:line="380" w:lineRule="exact"/>
        <w:jc w:val="left"/>
        <w:rPr>
          <w:rFonts w:ascii="仿宋" w:hAnsi="仿宋" w:eastAsia="仿宋"/>
          <w:sz w:val="24"/>
        </w:rPr>
      </w:pPr>
      <w:r>
        <w:rPr>
          <w:rFonts w:ascii="仿宋" w:hAnsi="仿宋" w:eastAsia="仿宋"/>
          <w:sz w:val="24"/>
        </w:rPr>
        <w:t xml:space="preserve">10.3  </w:t>
      </w:r>
      <w:r>
        <w:rPr>
          <w:rFonts w:hint="eastAsia" w:ascii="仿宋" w:hAnsi="仿宋" w:eastAsia="仿宋"/>
          <w:sz w:val="24"/>
        </w:rPr>
        <w:t>本合同以中文版本为最终解释。</w:t>
      </w:r>
    </w:p>
    <w:p w14:paraId="444E1429">
      <w:pPr>
        <w:spacing w:line="240" w:lineRule="auto"/>
        <w:jc w:val="left"/>
        <w:rPr>
          <w:rFonts w:hint="eastAsia" w:ascii="仿宋" w:hAnsi="仿宋" w:eastAsia="仿宋"/>
          <w:sz w:val="24"/>
        </w:rPr>
      </w:pPr>
    </w:p>
    <w:p w14:paraId="444E142A">
      <w:pPr>
        <w:spacing w:line="380" w:lineRule="exact"/>
        <w:jc w:val="center"/>
        <w:rPr>
          <w:rFonts w:ascii="仿宋" w:hAnsi="仿宋" w:eastAsia="仿宋"/>
          <w:sz w:val="24"/>
        </w:rPr>
      </w:pPr>
      <w:r>
        <w:rPr>
          <w:rFonts w:hint="eastAsia" w:ascii="仿宋" w:hAnsi="仿宋" w:eastAsia="仿宋"/>
          <w:sz w:val="24"/>
        </w:rPr>
        <w:t>（本页以下无正文，为本合同签署页）</w:t>
      </w:r>
    </w:p>
    <w:p w14:paraId="444E142B">
      <w:pPr>
        <w:spacing w:line="380" w:lineRule="exact"/>
        <w:jc w:val="left"/>
        <w:rPr>
          <w:rFonts w:ascii="仿宋" w:hAnsi="仿宋" w:eastAsia="仿宋"/>
          <w:sz w:val="24"/>
        </w:rPr>
      </w:pPr>
    </w:p>
    <w:tbl>
      <w:tblPr>
        <w:tblStyle w:val="7"/>
        <w:tblpPr w:leftFromText="180" w:rightFromText="180" w:vertAnchor="text" w:horzAnchor="margin" w:tblpXSpec="right" w:tblpY="230"/>
        <w:tblOverlap w:val="never"/>
        <w:tblW w:w="9627" w:type="dxa"/>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45"/>
        <w:gridCol w:w="4882"/>
      </w:tblGrid>
      <w:tr w14:paraId="444E14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right"/>
        </w:trPr>
        <w:tc>
          <w:tcPr>
            <w:tcW w:w="4745" w:type="dxa"/>
            <w:vAlign w:val="center"/>
          </w:tcPr>
          <w:p w14:paraId="444E142C">
            <w:pPr>
              <w:spacing w:line="380" w:lineRule="exact"/>
              <w:rPr>
                <w:rFonts w:ascii="仿宋" w:hAnsi="仿宋" w:eastAsia="仿宋"/>
                <w:sz w:val="24"/>
              </w:rPr>
            </w:pPr>
            <w:r>
              <w:rPr>
                <w:rFonts w:hint="eastAsia" w:ascii="仿宋" w:hAnsi="仿宋" w:eastAsia="仿宋"/>
                <w:sz w:val="24"/>
              </w:rPr>
              <w:t>甲方（盖章）：深圳市龙祺商业运营管理有限公司美憬阁酒店分公司</w:t>
            </w:r>
          </w:p>
        </w:tc>
        <w:tc>
          <w:tcPr>
            <w:tcW w:w="4882" w:type="dxa"/>
            <w:vAlign w:val="center"/>
          </w:tcPr>
          <w:p w14:paraId="444E142D">
            <w:pPr>
              <w:spacing w:line="380" w:lineRule="exact"/>
              <w:rPr>
                <w:rFonts w:ascii="仿宋" w:hAnsi="仿宋" w:eastAsia="仿宋"/>
                <w:sz w:val="24"/>
              </w:rPr>
            </w:pPr>
            <w:r>
              <w:rPr>
                <w:rFonts w:hint="eastAsia" w:ascii="仿宋" w:hAnsi="仿宋" w:eastAsia="仿宋"/>
                <w:sz w:val="24"/>
              </w:rPr>
              <w:t>乙方（盖章）：</w:t>
            </w:r>
          </w:p>
        </w:tc>
      </w:tr>
      <w:tr w14:paraId="444E14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right"/>
        </w:trPr>
        <w:tc>
          <w:tcPr>
            <w:tcW w:w="4745" w:type="dxa"/>
            <w:vAlign w:val="center"/>
          </w:tcPr>
          <w:p w14:paraId="444E142F">
            <w:pPr>
              <w:spacing w:line="380" w:lineRule="exact"/>
              <w:rPr>
                <w:rFonts w:ascii="仿宋" w:hAnsi="仿宋" w:eastAsia="仿宋"/>
                <w:sz w:val="24"/>
              </w:rPr>
            </w:pPr>
            <w:r>
              <w:rPr>
                <w:rFonts w:hint="eastAsia" w:ascii="仿宋" w:hAnsi="仿宋" w:eastAsia="仿宋"/>
                <w:sz w:val="24"/>
              </w:rPr>
              <w:t>甲方代表签字：</w:t>
            </w:r>
            <w:r>
              <w:rPr>
                <w:rFonts w:ascii="仿宋" w:hAnsi="仿宋" w:eastAsia="仿宋"/>
                <w:sz w:val="24"/>
              </w:rPr>
              <w:t xml:space="preserve">  </w:t>
            </w:r>
          </w:p>
        </w:tc>
        <w:tc>
          <w:tcPr>
            <w:tcW w:w="4882" w:type="dxa"/>
            <w:vAlign w:val="center"/>
          </w:tcPr>
          <w:p w14:paraId="444E1430">
            <w:pPr>
              <w:spacing w:line="380" w:lineRule="exact"/>
              <w:rPr>
                <w:rFonts w:ascii="仿宋" w:hAnsi="仿宋" w:eastAsia="仿宋"/>
                <w:sz w:val="24"/>
              </w:rPr>
            </w:pPr>
            <w:r>
              <w:rPr>
                <w:rFonts w:hint="eastAsia" w:ascii="仿宋" w:hAnsi="仿宋" w:eastAsia="仿宋"/>
                <w:sz w:val="24"/>
              </w:rPr>
              <w:t>乙方代表签字：</w:t>
            </w:r>
          </w:p>
        </w:tc>
      </w:tr>
      <w:tr w14:paraId="444E14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right"/>
        </w:trPr>
        <w:tc>
          <w:tcPr>
            <w:tcW w:w="4745" w:type="dxa"/>
            <w:vAlign w:val="center"/>
          </w:tcPr>
          <w:p w14:paraId="444E1432">
            <w:pPr>
              <w:spacing w:line="380" w:lineRule="exact"/>
              <w:rPr>
                <w:rFonts w:ascii="仿宋" w:hAnsi="仿宋" w:eastAsia="仿宋"/>
                <w:sz w:val="24"/>
              </w:rPr>
            </w:pPr>
            <w:r>
              <w:rPr>
                <w:rFonts w:hint="eastAsia" w:ascii="仿宋" w:hAnsi="仿宋" w:eastAsia="仿宋"/>
                <w:sz w:val="24"/>
              </w:rPr>
              <w:t>联系电话：</w:t>
            </w:r>
            <w:r>
              <w:rPr>
                <w:rFonts w:ascii="仿宋" w:hAnsi="仿宋" w:eastAsia="仿宋"/>
                <w:sz w:val="24"/>
              </w:rPr>
              <w:t xml:space="preserve">  </w:t>
            </w:r>
          </w:p>
        </w:tc>
        <w:tc>
          <w:tcPr>
            <w:tcW w:w="4882" w:type="dxa"/>
            <w:vAlign w:val="center"/>
          </w:tcPr>
          <w:p w14:paraId="444E1433">
            <w:pPr>
              <w:spacing w:line="380" w:lineRule="exact"/>
              <w:ind w:left="840" w:hanging="840" w:hangingChars="350"/>
              <w:rPr>
                <w:rFonts w:ascii="仿宋" w:hAnsi="仿宋" w:eastAsia="仿宋"/>
                <w:sz w:val="24"/>
              </w:rPr>
            </w:pPr>
            <w:r>
              <w:rPr>
                <w:rFonts w:hint="eastAsia" w:ascii="仿宋" w:hAnsi="仿宋" w:eastAsia="仿宋"/>
                <w:sz w:val="24"/>
              </w:rPr>
              <w:t>联系电话：</w:t>
            </w:r>
          </w:p>
        </w:tc>
      </w:tr>
      <w:tr w14:paraId="444E14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right"/>
        </w:trPr>
        <w:tc>
          <w:tcPr>
            <w:tcW w:w="4745" w:type="dxa"/>
            <w:vAlign w:val="center"/>
          </w:tcPr>
          <w:p w14:paraId="444E1435">
            <w:pPr>
              <w:spacing w:line="380" w:lineRule="exact"/>
              <w:rPr>
                <w:rFonts w:ascii="仿宋" w:hAnsi="仿宋" w:eastAsia="仿宋"/>
                <w:sz w:val="24"/>
              </w:rPr>
            </w:pPr>
            <w:r>
              <w:rPr>
                <w:rFonts w:hint="eastAsia" w:ascii="仿宋" w:hAnsi="仿宋" w:eastAsia="仿宋"/>
                <w:sz w:val="24"/>
              </w:rPr>
              <w:t>签订日期：</w:t>
            </w:r>
            <w:r>
              <w:rPr>
                <w:rFonts w:ascii="仿宋" w:hAnsi="仿宋" w:eastAsia="仿宋"/>
                <w:sz w:val="24"/>
              </w:rPr>
              <w:t xml:space="preserve">       </w:t>
            </w:r>
            <w:r>
              <w:rPr>
                <w:rFonts w:hint="eastAsia" w:ascii="仿宋" w:hAnsi="仿宋" w:eastAsia="仿宋"/>
                <w:sz w:val="24"/>
              </w:rPr>
              <w:t>年</w:t>
            </w:r>
            <w:r>
              <w:rPr>
                <w:rFonts w:ascii="仿宋" w:hAnsi="仿宋" w:eastAsia="仿宋"/>
                <w:sz w:val="24"/>
              </w:rPr>
              <w:t xml:space="preserve">       </w:t>
            </w:r>
            <w:r>
              <w:rPr>
                <w:rFonts w:hint="eastAsia" w:ascii="仿宋" w:hAnsi="仿宋" w:eastAsia="仿宋"/>
                <w:sz w:val="24"/>
              </w:rPr>
              <w:t>月</w:t>
            </w:r>
            <w:r>
              <w:rPr>
                <w:rFonts w:ascii="仿宋" w:hAnsi="仿宋" w:eastAsia="仿宋"/>
                <w:sz w:val="24"/>
              </w:rPr>
              <w:t xml:space="preserve">      </w:t>
            </w:r>
            <w:r>
              <w:rPr>
                <w:rFonts w:hint="eastAsia" w:ascii="仿宋" w:hAnsi="仿宋" w:eastAsia="仿宋"/>
                <w:sz w:val="24"/>
              </w:rPr>
              <w:t>日</w:t>
            </w:r>
          </w:p>
        </w:tc>
        <w:tc>
          <w:tcPr>
            <w:tcW w:w="4882" w:type="dxa"/>
            <w:vAlign w:val="center"/>
          </w:tcPr>
          <w:p w14:paraId="444E1436">
            <w:pPr>
              <w:spacing w:line="380" w:lineRule="exact"/>
              <w:rPr>
                <w:rFonts w:ascii="仿宋" w:hAnsi="仿宋" w:eastAsia="仿宋"/>
                <w:sz w:val="24"/>
              </w:rPr>
            </w:pPr>
            <w:r>
              <w:rPr>
                <w:rFonts w:hint="eastAsia" w:ascii="仿宋" w:hAnsi="仿宋" w:eastAsia="仿宋"/>
                <w:sz w:val="24"/>
              </w:rPr>
              <w:t>签订日期：</w:t>
            </w:r>
            <w:r>
              <w:rPr>
                <w:rFonts w:ascii="仿宋" w:hAnsi="仿宋" w:eastAsia="仿宋"/>
                <w:sz w:val="24"/>
              </w:rPr>
              <w:t xml:space="preserve">       </w:t>
            </w:r>
            <w:r>
              <w:rPr>
                <w:rFonts w:hint="eastAsia" w:ascii="仿宋" w:hAnsi="仿宋" w:eastAsia="仿宋"/>
                <w:sz w:val="24"/>
              </w:rPr>
              <w:t>年</w:t>
            </w:r>
            <w:r>
              <w:rPr>
                <w:rFonts w:ascii="仿宋" w:hAnsi="仿宋" w:eastAsia="仿宋"/>
                <w:sz w:val="24"/>
              </w:rPr>
              <w:t xml:space="preserve">       </w:t>
            </w:r>
            <w:r>
              <w:rPr>
                <w:rFonts w:hint="eastAsia" w:ascii="仿宋" w:hAnsi="仿宋" w:eastAsia="仿宋"/>
                <w:sz w:val="24"/>
              </w:rPr>
              <w:t>月</w:t>
            </w:r>
            <w:r>
              <w:rPr>
                <w:rFonts w:ascii="仿宋" w:hAnsi="仿宋" w:eastAsia="仿宋"/>
                <w:sz w:val="24"/>
              </w:rPr>
              <w:t xml:space="preserve">      </w:t>
            </w:r>
            <w:r>
              <w:rPr>
                <w:rFonts w:hint="eastAsia" w:ascii="仿宋" w:hAnsi="仿宋" w:eastAsia="仿宋"/>
                <w:sz w:val="24"/>
              </w:rPr>
              <w:t>日</w:t>
            </w:r>
          </w:p>
        </w:tc>
      </w:tr>
      <w:tr w14:paraId="444E14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right"/>
        </w:trPr>
        <w:tc>
          <w:tcPr>
            <w:tcW w:w="4745" w:type="dxa"/>
            <w:vAlign w:val="center"/>
          </w:tcPr>
          <w:p w14:paraId="444E1438">
            <w:pPr>
              <w:spacing w:line="380" w:lineRule="exact"/>
              <w:rPr>
                <w:rFonts w:ascii="仿宋" w:hAnsi="仿宋" w:eastAsia="仿宋"/>
                <w:sz w:val="24"/>
                <w:u w:val="single"/>
              </w:rPr>
            </w:pPr>
            <w:r>
              <w:rPr>
                <w:rFonts w:hint="eastAsia" w:ascii="仿宋" w:hAnsi="仿宋" w:eastAsia="仿宋"/>
                <w:sz w:val="24"/>
              </w:rPr>
              <w:t>地址：</w:t>
            </w:r>
            <w:r>
              <w:rPr>
                <w:rFonts w:hint="eastAsia" w:ascii="仿宋" w:hAnsi="仿宋" w:eastAsia="仿宋"/>
                <w:sz w:val="24"/>
                <w:u w:val="single"/>
              </w:rPr>
              <w:t>深圳市龙华区大浪街道新石社区浪韵路</w:t>
            </w:r>
            <w:r>
              <w:rPr>
                <w:rFonts w:ascii="仿宋" w:hAnsi="仿宋" w:eastAsia="仿宋"/>
                <w:sz w:val="24"/>
                <w:u w:val="single"/>
              </w:rPr>
              <w:t>8号负2层、负1层-15层</w:t>
            </w:r>
          </w:p>
        </w:tc>
        <w:tc>
          <w:tcPr>
            <w:tcW w:w="4882" w:type="dxa"/>
          </w:tcPr>
          <w:p w14:paraId="444E1439">
            <w:pPr>
              <w:spacing w:line="380" w:lineRule="exact"/>
              <w:rPr>
                <w:rFonts w:ascii="仿宋" w:hAnsi="仿宋" w:eastAsia="仿宋"/>
                <w:sz w:val="24"/>
                <w:u w:val="single"/>
              </w:rPr>
            </w:pPr>
            <w:r>
              <w:rPr>
                <w:rFonts w:hint="eastAsia" w:ascii="仿宋" w:hAnsi="仿宋" w:eastAsia="仿宋"/>
                <w:sz w:val="24"/>
              </w:rPr>
              <w:t>地址：</w:t>
            </w:r>
            <w:bookmarkStart w:id="0" w:name="_GoBack"/>
            <w:bookmarkEnd w:id="0"/>
          </w:p>
          <w:p w14:paraId="444E143A">
            <w:pPr>
              <w:spacing w:line="380" w:lineRule="exact"/>
              <w:rPr>
                <w:rFonts w:ascii="仿宋" w:hAnsi="仿宋" w:eastAsia="仿宋"/>
                <w:sz w:val="24"/>
              </w:rPr>
            </w:pPr>
          </w:p>
        </w:tc>
      </w:tr>
      <w:tr w14:paraId="444E14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2" w:hRule="atLeast"/>
          <w:jc w:val="right"/>
        </w:trPr>
        <w:tc>
          <w:tcPr>
            <w:tcW w:w="4745" w:type="dxa"/>
            <w:vAlign w:val="center"/>
          </w:tcPr>
          <w:p w14:paraId="444E143C">
            <w:pPr>
              <w:spacing w:line="380" w:lineRule="exact"/>
              <w:rPr>
                <w:rFonts w:ascii="仿宋" w:hAnsi="仿宋" w:eastAsia="仿宋"/>
                <w:sz w:val="24"/>
              </w:rPr>
            </w:pPr>
            <w:r>
              <w:rPr>
                <w:rFonts w:hint="eastAsia" w:ascii="仿宋" w:hAnsi="仿宋" w:eastAsia="仿宋"/>
                <w:sz w:val="24"/>
              </w:rPr>
              <w:t>开户银行</w:t>
            </w:r>
            <w:r>
              <w:rPr>
                <w:rFonts w:ascii="仿宋" w:hAnsi="仿宋" w:eastAsia="仿宋"/>
                <w:sz w:val="24"/>
              </w:rPr>
              <w:t>:兴业银行股份有限公司深圳民治支行</w:t>
            </w:r>
          </w:p>
        </w:tc>
        <w:tc>
          <w:tcPr>
            <w:tcW w:w="4882" w:type="dxa"/>
            <w:vAlign w:val="center"/>
          </w:tcPr>
          <w:p w14:paraId="444E143D">
            <w:pPr>
              <w:spacing w:line="380" w:lineRule="exact"/>
              <w:rPr>
                <w:rFonts w:ascii="仿宋" w:hAnsi="仿宋" w:eastAsia="仿宋"/>
                <w:sz w:val="24"/>
              </w:rPr>
            </w:pPr>
            <w:r>
              <w:rPr>
                <w:rFonts w:hint="eastAsia" w:ascii="仿宋" w:hAnsi="仿宋" w:eastAsia="仿宋"/>
                <w:sz w:val="24"/>
              </w:rPr>
              <w:t>开户银行：</w:t>
            </w:r>
          </w:p>
        </w:tc>
      </w:tr>
      <w:tr w14:paraId="444E14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8" w:hRule="atLeast"/>
          <w:jc w:val="right"/>
        </w:trPr>
        <w:tc>
          <w:tcPr>
            <w:tcW w:w="4745" w:type="dxa"/>
            <w:vAlign w:val="center"/>
          </w:tcPr>
          <w:p w14:paraId="444E143F">
            <w:pPr>
              <w:spacing w:line="380" w:lineRule="exact"/>
              <w:rPr>
                <w:rFonts w:ascii="仿宋" w:hAnsi="仿宋" w:eastAsia="仿宋"/>
                <w:sz w:val="24"/>
              </w:rPr>
            </w:pPr>
            <w:r>
              <w:rPr>
                <w:rFonts w:hint="eastAsia" w:ascii="仿宋" w:hAnsi="仿宋" w:eastAsia="仿宋"/>
                <w:sz w:val="24"/>
              </w:rPr>
              <w:t>银行账号</w:t>
            </w:r>
            <w:r>
              <w:rPr>
                <w:rFonts w:ascii="仿宋" w:hAnsi="仿宋" w:eastAsia="仿宋"/>
                <w:sz w:val="24"/>
              </w:rPr>
              <w:t>:338200100100210092</w:t>
            </w:r>
          </w:p>
        </w:tc>
        <w:tc>
          <w:tcPr>
            <w:tcW w:w="4882" w:type="dxa"/>
            <w:vAlign w:val="center"/>
          </w:tcPr>
          <w:p w14:paraId="444E1440">
            <w:pPr>
              <w:spacing w:line="380" w:lineRule="exact"/>
              <w:rPr>
                <w:rFonts w:ascii="仿宋" w:hAnsi="仿宋" w:eastAsia="仿宋"/>
                <w:sz w:val="24"/>
              </w:rPr>
            </w:pPr>
            <w:r>
              <w:rPr>
                <w:rFonts w:hint="eastAsia" w:ascii="仿宋" w:hAnsi="仿宋" w:eastAsia="仿宋"/>
                <w:sz w:val="24"/>
              </w:rPr>
              <w:t>银行账号：</w:t>
            </w:r>
          </w:p>
        </w:tc>
      </w:tr>
      <w:tr w14:paraId="444E14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6" w:hRule="atLeast"/>
          <w:jc w:val="right"/>
        </w:trPr>
        <w:tc>
          <w:tcPr>
            <w:tcW w:w="4745" w:type="dxa"/>
            <w:vAlign w:val="center"/>
          </w:tcPr>
          <w:p w14:paraId="444E1442">
            <w:pPr>
              <w:spacing w:line="380" w:lineRule="exact"/>
              <w:rPr>
                <w:rFonts w:ascii="仿宋" w:hAnsi="仿宋" w:eastAsia="仿宋"/>
                <w:sz w:val="24"/>
              </w:rPr>
            </w:pPr>
            <w:r>
              <w:rPr>
                <w:rFonts w:hint="eastAsia" w:ascii="仿宋" w:hAnsi="仿宋" w:eastAsia="仿宋"/>
                <w:sz w:val="24"/>
              </w:rPr>
              <w:t>纳税人识别号：</w:t>
            </w:r>
            <w:r>
              <w:rPr>
                <w:rFonts w:ascii="仿宋" w:hAnsi="仿宋" w:eastAsia="仿宋"/>
                <w:sz w:val="24"/>
              </w:rPr>
              <w:t>91440300MADWUM898J</w:t>
            </w:r>
          </w:p>
        </w:tc>
        <w:tc>
          <w:tcPr>
            <w:tcW w:w="4882" w:type="dxa"/>
            <w:vAlign w:val="center"/>
          </w:tcPr>
          <w:p w14:paraId="444E1443">
            <w:pPr>
              <w:spacing w:line="380" w:lineRule="exact"/>
              <w:rPr>
                <w:rFonts w:ascii="仿宋" w:hAnsi="仿宋" w:eastAsia="仿宋"/>
                <w:sz w:val="24"/>
              </w:rPr>
            </w:pPr>
            <w:r>
              <w:rPr>
                <w:rFonts w:hint="eastAsia" w:ascii="仿宋" w:hAnsi="仿宋" w:eastAsia="仿宋"/>
                <w:sz w:val="24"/>
              </w:rPr>
              <w:t>纳税人识别号：</w:t>
            </w:r>
          </w:p>
        </w:tc>
      </w:tr>
    </w:tbl>
    <w:p w14:paraId="444E1445">
      <w:pPr>
        <w:spacing w:line="380" w:lineRule="exact"/>
        <w:jc w:val="left"/>
        <w:rPr>
          <w:rFonts w:ascii="仿宋" w:hAnsi="仿宋" w:eastAsia="仿宋"/>
          <w:sz w:val="24"/>
        </w:rPr>
      </w:pPr>
    </w:p>
    <w:p w14:paraId="444E1446">
      <w:pPr>
        <w:jc w:val="left"/>
        <w:rPr>
          <w:rFonts w:ascii="仿宋" w:hAnsi="仿宋" w:eastAsia="仿宋"/>
          <w:sz w:val="24"/>
        </w:rPr>
      </w:pPr>
      <w:r>
        <w:rPr>
          <w:rFonts w:hint="eastAsia" w:ascii="仿宋" w:hAnsi="仿宋" w:eastAsia="仿宋"/>
          <w:sz w:val="24"/>
        </w:rPr>
        <w:br w:type="page"/>
      </w:r>
    </w:p>
    <w:p w14:paraId="444E1447">
      <w:pPr>
        <w:spacing w:line="380" w:lineRule="exact"/>
        <w:jc w:val="left"/>
        <w:rPr>
          <w:rFonts w:ascii="仿宋" w:hAnsi="仿宋" w:eastAsia="仿宋"/>
          <w:sz w:val="24"/>
        </w:rPr>
      </w:pPr>
      <w:r>
        <w:rPr>
          <w:rFonts w:hint="eastAsia" w:ascii="仿宋" w:hAnsi="仿宋" w:eastAsia="仿宋"/>
          <w:sz w:val="24"/>
        </w:rPr>
        <w:t>附件一：服务标准：</w:t>
      </w:r>
    </w:p>
    <w:p w14:paraId="444E1448">
      <w:pPr>
        <w:spacing w:line="380" w:lineRule="exact"/>
        <w:jc w:val="left"/>
        <w:rPr>
          <w:rFonts w:ascii="仿宋" w:hAnsi="仿宋" w:eastAsia="仿宋"/>
          <w:sz w:val="24"/>
        </w:rPr>
      </w:pPr>
      <w:r>
        <w:rPr>
          <w:rFonts w:hint="eastAsia" w:ascii="仿宋" w:hAnsi="仿宋" w:eastAsia="仿宋"/>
          <w:sz w:val="24"/>
        </w:rPr>
        <w:t>蚊虫密度控制标准：</w:t>
      </w:r>
    </w:p>
    <w:p w14:paraId="444E1449">
      <w:pPr>
        <w:spacing w:line="380" w:lineRule="exact"/>
        <w:jc w:val="left"/>
        <w:rPr>
          <w:rFonts w:ascii="仿宋" w:hAnsi="仿宋" w:eastAsia="仿宋"/>
          <w:sz w:val="24"/>
        </w:rPr>
      </w:pPr>
      <w:r>
        <w:rPr>
          <w:rFonts w:ascii="仿宋" w:hAnsi="仿宋" w:eastAsia="仿宋"/>
          <w:sz w:val="24"/>
        </w:rPr>
        <w:t xml:space="preserve">1.  </w:t>
      </w:r>
      <w:r>
        <w:rPr>
          <w:rFonts w:hint="eastAsia" w:ascii="仿宋" w:hAnsi="仿宋" w:eastAsia="仿宋"/>
          <w:sz w:val="24"/>
        </w:rPr>
        <w:t>小型积水蚊虫密度控制水平达到</w:t>
      </w:r>
      <w:r>
        <w:rPr>
          <w:rFonts w:ascii="仿宋" w:hAnsi="仿宋" w:eastAsia="仿宋"/>
          <w:sz w:val="24"/>
        </w:rPr>
        <w:t>A</w:t>
      </w:r>
      <w:r>
        <w:rPr>
          <w:rFonts w:hint="eastAsia" w:ascii="仿宋" w:hAnsi="仿宋" w:eastAsia="仿宋"/>
          <w:sz w:val="24"/>
        </w:rPr>
        <w:t>级；路径指数小于或等于</w:t>
      </w:r>
      <w:r>
        <w:rPr>
          <w:rFonts w:ascii="仿宋" w:hAnsi="仿宋" w:eastAsia="仿宋"/>
          <w:sz w:val="24"/>
        </w:rPr>
        <w:t>0.1</w:t>
      </w:r>
      <w:r>
        <w:rPr>
          <w:rFonts w:hint="eastAsia" w:ascii="仿宋" w:hAnsi="仿宋" w:eastAsia="仿宋"/>
          <w:sz w:val="24"/>
        </w:rPr>
        <w:t>；</w:t>
      </w:r>
    </w:p>
    <w:p w14:paraId="444E144A">
      <w:pPr>
        <w:spacing w:line="380" w:lineRule="exact"/>
        <w:jc w:val="left"/>
        <w:rPr>
          <w:rFonts w:ascii="仿宋" w:hAnsi="仿宋" w:eastAsia="仿宋"/>
          <w:sz w:val="24"/>
        </w:rPr>
      </w:pPr>
      <w:r>
        <w:rPr>
          <w:rFonts w:ascii="仿宋" w:hAnsi="仿宋" w:eastAsia="仿宋"/>
          <w:sz w:val="24"/>
        </w:rPr>
        <w:t xml:space="preserve">2.  </w:t>
      </w:r>
      <w:r>
        <w:rPr>
          <w:rFonts w:hint="eastAsia" w:ascii="仿宋" w:hAnsi="仿宋" w:eastAsia="仿宋"/>
          <w:sz w:val="24"/>
        </w:rPr>
        <w:t>大中型水体蚊虫密度控制水平达到</w:t>
      </w:r>
      <w:r>
        <w:rPr>
          <w:rFonts w:ascii="仿宋" w:hAnsi="仿宋" w:eastAsia="仿宋"/>
          <w:sz w:val="24"/>
        </w:rPr>
        <w:t>A</w:t>
      </w:r>
      <w:r>
        <w:rPr>
          <w:rFonts w:hint="eastAsia" w:ascii="仿宋" w:hAnsi="仿宋" w:eastAsia="仿宋"/>
          <w:sz w:val="24"/>
        </w:rPr>
        <w:t>级；采样勺指数小于或等于</w:t>
      </w:r>
      <w:r>
        <w:rPr>
          <w:rFonts w:ascii="仿宋" w:hAnsi="仿宋" w:eastAsia="仿宋"/>
          <w:sz w:val="24"/>
        </w:rPr>
        <w:t>3%</w:t>
      </w:r>
      <w:r>
        <w:rPr>
          <w:rFonts w:hint="eastAsia" w:ascii="仿宋" w:hAnsi="仿宋" w:eastAsia="仿宋"/>
          <w:sz w:val="24"/>
        </w:rPr>
        <w:t>，平均每阳性勺少于</w:t>
      </w:r>
      <w:r>
        <w:rPr>
          <w:rFonts w:ascii="仿宋" w:hAnsi="仿宋" w:eastAsia="仿宋"/>
          <w:sz w:val="24"/>
        </w:rPr>
        <w:t>3</w:t>
      </w:r>
      <w:r>
        <w:rPr>
          <w:rFonts w:hint="eastAsia" w:ascii="仿宋" w:hAnsi="仿宋" w:eastAsia="仿宋"/>
          <w:sz w:val="24"/>
        </w:rPr>
        <w:t>只蚊虫幼虫和蛹；</w:t>
      </w:r>
    </w:p>
    <w:p w14:paraId="444E144B">
      <w:pPr>
        <w:spacing w:line="380" w:lineRule="exact"/>
        <w:jc w:val="left"/>
        <w:rPr>
          <w:rFonts w:ascii="仿宋" w:hAnsi="仿宋" w:eastAsia="仿宋"/>
          <w:sz w:val="24"/>
        </w:rPr>
      </w:pPr>
      <w:r>
        <w:rPr>
          <w:rFonts w:ascii="仿宋" w:hAnsi="仿宋" w:eastAsia="仿宋"/>
          <w:sz w:val="24"/>
        </w:rPr>
        <w:t xml:space="preserve">3.  </w:t>
      </w:r>
      <w:r>
        <w:rPr>
          <w:rFonts w:hint="eastAsia" w:ascii="仿宋" w:hAnsi="仿宋" w:eastAsia="仿宋"/>
          <w:sz w:val="24"/>
        </w:rPr>
        <w:t>外环境蚊虫密度控制水平达到</w:t>
      </w:r>
      <w:r>
        <w:rPr>
          <w:rFonts w:ascii="仿宋" w:hAnsi="仿宋" w:eastAsia="仿宋"/>
          <w:sz w:val="24"/>
        </w:rPr>
        <w:t>B</w:t>
      </w:r>
      <w:r>
        <w:rPr>
          <w:rFonts w:hint="eastAsia" w:ascii="仿宋" w:hAnsi="仿宋" w:eastAsia="仿宋"/>
          <w:sz w:val="24"/>
        </w:rPr>
        <w:t>级；停落指数小于或等于</w:t>
      </w:r>
      <w:r>
        <w:rPr>
          <w:rFonts w:ascii="仿宋" w:hAnsi="仿宋" w:eastAsia="仿宋"/>
          <w:sz w:val="24"/>
        </w:rPr>
        <w:t>1.0</w:t>
      </w:r>
      <w:r>
        <w:rPr>
          <w:rFonts w:hint="eastAsia" w:ascii="仿宋" w:hAnsi="仿宋" w:eastAsia="仿宋"/>
          <w:sz w:val="24"/>
        </w:rPr>
        <w:t>；</w:t>
      </w:r>
    </w:p>
    <w:p w14:paraId="444E144C">
      <w:pPr>
        <w:spacing w:line="380" w:lineRule="exact"/>
        <w:jc w:val="left"/>
        <w:rPr>
          <w:rFonts w:ascii="仿宋" w:hAnsi="仿宋" w:eastAsia="仿宋"/>
          <w:sz w:val="24"/>
        </w:rPr>
      </w:pPr>
    </w:p>
    <w:p w14:paraId="444E144D">
      <w:pPr>
        <w:spacing w:line="380" w:lineRule="exact"/>
        <w:jc w:val="left"/>
        <w:rPr>
          <w:rFonts w:ascii="仿宋" w:hAnsi="仿宋" w:eastAsia="仿宋"/>
          <w:sz w:val="24"/>
        </w:rPr>
      </w:pPr>
      <w:r>
        <w:rPr>
          <w:rFonts w:hint="eastAsia" w:ascii="仿宋" w:hAnsi="仿宋" w:eastAsia="仿宋"/>
          <w:sz w:val="24"/>
        </w:rPr>
        <w:t>蝇类密度控制标准；</w:t>
      </w:r>
    </w:p>
    <w:p w14:paraId="444E144E">
      <w:pPr>
        <w:numPr>
          <w:ilvl w:val="0"/>
          <w:numId w:val="10"/>
        </w:numPr>
        <w:spacing w:line="380" w:lineRule="exact"/>
        <w:jc w:val="left"/>
        <w:rPr>
          <w:rFonts w:ascii="仿宋" w:hAnsi="仿宋" w:eastAsia="仿宋"/>
          <w:sz w:val="24"/>
        </w:rPr>
      </w:pPr>
      <w:r>
        <w:rPr>
          <w:rFonts w:ascii="仿宋" w:hAnsi="仿宋" w:eastAsia="仿宋"/>
          <w:sz w:val="24"/>
        </w:rPr>
        <w:t xml:space="preserve"> </w:t>
      </w:r>
      <w:r>
        <w:rPr>
          <w:rFonts w:hint="eastAsia" w:ascii="仿宋" w:hAnsi="仿宋" w:eastAsia="仿宋"/>
          <w:sz w:val="24"/>
        </w:rPr>
        <w:t>直接入口食物的场所不得有蝇，室内不得存在蝇类滋生地；</w:t>
      </w:r>
    </w:p>
    <w:p w14:paraId="444E144F">
      <w:pPr>
        <w:numPr>
          <w:ilvl w:val="0"/>
          <w:numId w:val="10"/>
        </w:numPr>
        <w:spacing w:line="380" w:lineRule="exact"/>
        <w:jc w:val="left"/>
        <w:rPr>
          <w:rFonts w:ascii="仿宋" w:hAnsi="仿宋" w:eastAsia="仿宋"/>
          <w:sz w:val="24"/>
        </w:rPr>
      </w:pPr>
      <w:r>
        <w:rPr>
          <w:rFonts w:ascii="仿宋" w:hAnsi="仿宋" w:eastAsia="仿宋"/>
          <w:sz w:val="24"/>
        </w:rPr>
        <w:t xml:space="preserve"> </w:t>
      </w:r>
      <w:r>
        <w:rPr>
          <w:rFonts w:hint="eastAsia" w:ascii="仿宋" w:hAnsi="仿宋" w:eastAsia="仿宋"/>
          <w:sz w:val="24"/>
        </w:rPr>
        <w:t>室内生成蝇密度控制水平达到</w:t>
      </w:r>
      <w:r>
        <w:rPr>
          <w:rFonts w:ascii="仿宋" w:hAnsi="仿宋" w:eastAsia="仿宋"/>
          <w:sz w:val="24"/>
        </w:rPr>
        <w:t>A</w:t>
      </w:r>
      <w:r>
        <w:rPr>
          <w:rFonts w:hint="eastAsia" w:ascii="仿宋" w:hAnsi="仿宋" w:eastAsia="仿宋"/>
          <w:sz w:val="24"/>
        </w:rPr>
        <w:t>级；有蝇房间阳性率小于或等于</w:t>
      </w:r>
      <w:r>
        <w:rPr>
          <w:rFonts w:ascii="仿宋" w:hAnsi="仿宋" w:eastAsia="仿宋"/>
          <w:sz w:val="24"/>
        </w:rPr>
        <w:t>3%</w:t>
      </w:r>
      <w:r>
        <w:rPr>
          <w:rFonts w:hint="eastAsia" w:ascii="仿宋" w:hAnsi="仿宋" w:eastAsia="仿宋"/>
          <w:sz w:val="24"/>
        </w:rPr>
        <w:t>，阳性间蝇密度小于或等于</w:t>
      </w:r>
      <w:r>
        <w:rPr>
          <w:rFonts w:ascii="仿宋" w:hAnsi="仿宋" w:eastAsia="仿宋"/>
          <w:sz w:val="24"/>
        </w:rPr>
        <w:t>3</w:t>
      </w:r>
      <w:r>
        <w:rPr>
          <w:rFonts w:hint="eastAsia" w:ascii="仿宋" w:hAnsi="仿宋" w:eastAsia="仿宋"/>
          <w:sz w:val="24"/>
        </w:rPr>
        <w:t>只</w:t>
      </w:r>
      <w:r>
        <w:rPr>
          <w:rFonts w:ascii="仿宋" w:hAnsi="仿宋" w:eastAsia="仿宋"/>
          <w:sz w:val="24"/>
        </w:rPr>
        <w:t>/</w:t>
      </w:r>
      <w:r>
        <w:rPr>
          <w:rFonts w:hint="eastAsia" w:ascii="仿宋" w:hAnsi="仿宋" w:eastAsia="仿宋"/>
          <w:sz w:val="24"/>
        </w:rPr>
        <w:t>间；</w:t>
      </w:r>
    </w:p>
    <w:p w14:paraId="444E1450">
      <w:pPr>
        <w:numPr>
          <w:ilvl w:val="0"/>
          <w:numId w:val="10"/>
        </w:numPr>
        <w:spacing w:line="380" w:lineRule="exact"/>
        <w:jc w:val="left"/>
        <w:rPr>
          <w:rFonts w:ascii="仿宋" w:hAnsi="仿宋" w:eastAsia="仿宋"/>
          <w:sz w:val="24"/>
        </w:rPr>
      </w:pPr>
      <w:r>
        <w:rPr>
          <w:rFonts w:ascii="仿宋" w:hAnsi="仿宋" w:eastAsia="仿宋"/>
          <w:sz w:val="24"/>
        </w:rPr>
        <w:t xml:space="preserve"> </w:t>
      </w:r>
      <w:r>
        <w:rPr>
          <w:rFonts w:hint="eastAsia" w:ascii="仿宋" w:hAnsi="仿宋" w:eastAsia="仿宋"/>
          <w:sz w:val="24"/>
        </w:rPr>
        <w:t>室外蝇类滋生地密度控制水平分达到</w:t>
      </w:r>
      <w:r>
        <w:rPr>
          <w:rFonts w:ascii="仿宋" w:hAnsi="仿宋" w:eastAsia="仿宋"/>
          <w:sz w:val="24"/>
        </w:rPr>
        <w:t>A</w:t>
      </w:r>
      <w:r>
        <w:rPr>
          <w:rFonts w:hint="eastAsia" w:ascii="仿宋" w:hAnsi="仿宋" w:eastAsia="仿宋"/>
          <w:sz w:val="24"/>
        </w:rPr>
        <w:t>级；蝇类滋生地阳性率小于或等于</w:t>
      </w:r>
      <w:r>
        <w:rPr>
          <w:rFonts w:ascii="仿宋" w:hAnsi="仿宋" w:eastAsia="仿宋"/>
          <w:sz w:val="24"/>
        </w:rPr>
        <w:t>1%</w:t>
      </w:r>
      <w:r>
        <w:rPr>
          <w:rFonts w:hint="eastAsia" w:ascii="仿宋" w:hAnsi="仿宋" w:eastAsia="仿宋"/>
          <w:sz w:val="24"/>
        </w:rPr>
        <w:t>；</w:t>
      </w:r>
    </w:p>
    <w:p w14:paraId="444E1451">
      <w:pPr>
        <w:numPr>
          <w:ilvl w:val="0"/>
          <w:numId w:val="10"/>
        </w:numPr>
        <w:spacing w:line="380" w:lineRule="exact"/>
        <w:jc w:val="left"/>
        <w:rPr>
          <w:rFonts w:ascii="仿宋" w:hAnsi="仿宋" w:eastAsia="仿宋"/>
          <w:sz w:val="24"/>
        </w:rPr>
      </w:pPr>
      <w:r>
        <w:rPr>
          <w:rFonts w:ascii="仿宋" w:hAnsi="仿宋" w:eastAsia="仿宋"/>
          <w:sz w:val="24"/>
        </w:rPr>
        <w:t xml:space="preserve"> </w:t>
      </w:r>
      <w:r>
        <w:rPr>
          <w:rFonts w:hint="eastAsia" w:ascii="仿宋" w:hAnsi="仿宋" w:eastAsia="仿宋"/>
          <w:sz w:val="24"/>
        </w:rPr>
        <w:t>防蝇设施达到</w:t>
      </w:r>
      <w:r>
        <w:rPr>
          <w:rFonts w:ascii="仿宋" w:hAnsi="仿宋" w:eastAsia="仿宋"/>
          <w:sz w:val="24"/>
        </w:rPr>
        <w:t>A</w:t>
      </w:r>
      <w:r>
        <w:rPr>
          <w:rFonts w:hint="eastAsia" w:ascii="仿宋" w:hAnsi="仿宋" w:eastAsia="仿宋"/>
          <w:sz w:val="24"/>
        </w:rPr>
        <w:t>级；防蝇设施合格率为</w:t>
      </w:r>
      <w:r>
        <w:rPr>
          <w:rFonts w:ascii="仿宋" w:hAnsi="仿宋" w:eastAsia="仿宋"/>
          <w:sz w:val="24"/>
        </w:rPr>
        <w:t>100%</w:t>
      </w:r>
      <w:r>
        <w:rPr>
          <w:rFonts w:hint="eastAsia" w:ascii="仿宋" w:hAnsi="仿宋" w:eastAsia="仿宋"/>
          <w:sz w:val="24"/>
        </w:rPr>
        <w:t>。</w:t>
      </w:r>
    </w:p>
    <w:p w14:paraId="444E1452">
      <w:pPr>
        <w:spacing w:line="380" w:lineRule="exact"/>
        <w:jc w:val="left"/>
        <w:rPr>
          <w:rFonts w:ascii="仿宋" w:hAnsi="仿宋" w:eastAsia="仿宋"/>
          <w:sz w:val="24"/>
        </w:rPr>
      </w:pPr>
    </w:p>
    <w:p w14:paraId="444E1453">
      <w:pPr>
        <w:spacing w:line="380" w:lineRule="exact"/>
        <w:jc w:val="left"/>
        <w:rPr>
          <w:rFonts w:ascii="仿宋" w:hAnsi="仿宋" w:eastAsia="仿宋"/>
          <w:sz w:val="24"/>
        </w:rPr>
      </w:pPr>
      <w:r>
        <w:rPr>
          <w:rFonts w:hint="eastAsia" w:ascii="仿宋" w:hAnsi="仿宋" w:eastAsia="仿宋"/>
          <w:sz w:val="24"/>
        </w:rPr>
        <w:t>蜚蠊密度控制标准；</w:t>
      </w:r>
    </w:p>
    <w:p w14:paraId="444E1454">
      <w:pPr>
        <w:numPr>
          <w:ilvl w:val="0"/>
          <w:numId w:val="11"/>
        </w:numPr>
        <w:spacing w:line="380" w:lineRule="exact"/>
        <w:jc w:val="left"/>
        <w:rPr>
          <w:rFonts w:ascii="仿宋" w:hAnsi="仿宋" w:eastAsia="仿宋"/>
          <w:sz w:val="24"/>
        </w:rPr>
      </w:pPr>
      <w:r>
        <w:rPr>
          <w:rFonts w:ascii="仿宋" w:hAnsi="仿宋" w:eastAsia="仿宋"/>
          <w:sz w:val="24"/>
        </w:rPr>
        <w:t xml:space="preserve"> </w:t>
      </w:r>
      <w:r>
        <w:rPr>
          <w:rFonts w:hint="eastAsia" w:ascii="仿宋" w:hAnsi="仿宋" w:eastAsia="仿宋"/>
          <w:sz w:val="24"/>
        </w:rPr>
        <w:t>成若虫侵害率达到</w:t>
      </w:r>
      <w:r>
        <w:rPr>
          <w:rFonts w:ascii="仿宋" w:hAnsi="仿宋" w:eastAsia="仿宋"/>
          <w:sz w:val="24"/>
        </w:rPr>
        <w:t>A</w:t>
      </w:r>
      <w:r>
        <w:rPr>
          <w:rFonts w:hint="eastAsia" w:ascii="仿宋" w:hAnsi="仿宋" w:eastAsia="仿宋"/>
          <w:sz w:val="24"/>
        </w:rPr>
        <w:t>级；蜚蠊成若虫侵害率小于或等于</w:t>
      </w:r>
      <w:r>
        <w:rPr>
          <w:rFonts w:ascii="仿宋" w:hAnsi="仿宋" w:eastAsia="仿宋"/>
          <w:sz w:val="24"/>
        </w:rPr>
        <w:t>1%</w:t>
      </w:r>
      <w:r>
        <w:rPr>
          <w:rFonts w:hint="eastAsia" w:ascii="仿宋" w:hAnsi="仿宋" w:eastAsia="仿宋"/>
          <w:sz w:val="24"/>
        </w:rPr>
        <w:t>，平均每阳性间（处）成若虫数小蠊小于或等于</w:t>
      </w:r>
      <w:r>
        <w:rPr>
          <w:rFonts w:ascii="仿宋" w:hAnsi="仿宋" w:eastAsia="仿宋"/>
          <w:sz w:val="24"/>
        </w:rPr>
        <w:t>5</w:t>
      </w:r>
      <w:r>
        <w:rPr>
          <w:rFonts w:hint="eastAsia" w:ascii="仿宋" w:hAnsi="仿宋" w:eastAsia="仿宋"/>
          <w:sz w:val="24"/>
        </w:rPr>
        <w:t>只，大蠊小于或等于</w:t>
      </w:r>
      <w:r>
        <w:rPr>
          <w:rFonts w:ascii="仿宋" w:hAnsi="仿宋" w:eastAsia="仿宋"/>
          <w:sz w:val="24"/>
        </w:rPr>
        <w:t>2</w:t>
      </w:r>
      <w:r>
        <w:rPr>
          <w:rFonts w:hint="eastAsia" w:ascii="仿宋" w:hAnsi="仿宋" w:eastAsia="仿宋"/>
          <w:sz w:val="24"/>
        </w:rPr>
        <w:t>只；</w:t>
      </w:r>
    </w:p>
    <w:p w14:paraId="444E1455">
      <w:pPr>
        <w:numPr>
          <w:ilvl w:val="0"/>
          <w:numId w:val="11"/>
        </w:numPr>
        <w:spacing w:line="380" w:lineRule="exact"/>
        <w:jc w:val="left"/>
        <w:rPr>
          <w:rFonts w:ascii="仿宋" w:hAnsi="仿宋" w:eastAsia="仿宋"/>
          <w:sz w:val="24"/>
        </w:rPr>
      </w:pPr>
      <w:r>
        <w:rPr>
          <w:rFonts w:ascii="仿宋" w:hAnsi="仿宋" w:eastAsia="仿宋"/>
          <w:sz w:val="24"/>
        </w:rPr>
        <w:t xml:space="preserve"> </w:t>
      </w:r>
      <w:r>
        <w:rPr>
          <w:rFonts w:hint="eastAsia" w:ascii="仿宋" w:hAnsi="仿宋" w:eastAsia="仿宋"/>
          <w:sz w:val="24"/>
        </w:rPr>
        <w:t>卵鞘查获率达到</w:t>
      </w:r>
      <w:r>
        <w:rPr>
          <w:rFonts w:ascii="仿宋" w:hAnsi="仿宋" w:eastAsia="仿宋"/>
          <w:sz w:val="24"/>
        </w:rPr>
        <w:t>A</w:t>
      </w:r>
      <w:r>
        <w:rPr>
          <w:rFonts w:hint="eastAsia" w:ascii="仿宋" w:hAnsi="仿宋" w:eastAsia="仿宋"/>
          <w:sz w:val="24"/>
        </w:rPr>
        <w:t>级；蜚蠊卵鞘查获率小于或等于</w:t>
      </w:r>
      <w:r>
        <w:rPr>
          <w:rFonts w:ascii="仿宋" w:hAnsi="仿宋" w:eastAsia="仿宋"/>
          <w:sz w:val="24"/>
        </w:rPr>
        <w:t>1%</w:t>
      </w:r>
      <w:r>
        <w:rPr>
          <w:rFonts w:hint="eastAsia" w:ascii="仿宋" w:hAnsi="仿宋" w:eastAsia="仿宋"/>
          <w:sz w:val="24"/>
        </w:rPr>
        <w:t>，平均每阳性间（处）卵鞘数小于或等于</w:t>
      </w:r>
      <w:r>
        <w:rPr>
          <w:rFonts w:ascii="仿宋" w:hAnsi="仿宋" w:eastAsia="仿宋"/>
          <w:sz w:val="24"/>
        </w:rPr>
        <w:t>2</w:t>
      </w:r>
      <w:r>
        <w:rPr>
          <w:rFonts w:hint="eastAsia" w:ascii="仿宋" w:hAnsi="仿宋" w:eastAsia="仿宋"/>
          <w:sz w:val="24"/>
        </w:rPr>
        <w:t>只；</w:t>
      </w:r>
    </w:p>
    <w:p w14:paraId="444E1456">
      <w:pPr>
        <w:numPr>
          <w:ilvl w:val="0"/>
          <w:numId w:val="11"/>
        </w:numPr>
        <w:spacing w:line="380" w:lineRule="exact"/>
        <w:jc w:val="left"/>
        <w:rPr>
          <w:rFonts w:ascii="仿宋" w:hAnsi="仿宋" w:eastAsia="仿宋"/>
          <w:sz w:val="24"/>
        </w:rPr>
      </w:pPr>
      <w:r>
        <w:rPr>
          <w:rFonts w:ascii="仿宋" w:hAnsi="仿宋" w:eastAsia="仿宋"/>
          <w:sz w:val="24"/>
        </w:rPr>
        <w:t xml:space="preserve">  </w:t>
      </w:r>
      <w:r>
        <w:rPr>
          <w:rFonts w:hint="eastAsia" w:ascii="仿宋" w:hAnsi="仿宋" w:eastAsia="仿宋"/>
          <w:sz w:val="24"/>
        </w:rPr>
        <w:t>蟑迹查获率达到</w:t>
      </w:r>
      <w:r>
        <w:rPr>
          <w:rFonts w:ascii="仿宋" w:hAnsi="仿宋" w:eastAsia="仿宋"/>
          <w:sz w:val="24"/>
        </w:rPr>
        <w:t>A</w:t>
      </w:r>
      <w:r>
        <w:rPr>
          <w:rFonts w:hint="eastAsia" w:ascii="仿宋" w:hAnsi="仿宋" w:eastAsia="仿宋"/>
          <w:sz w:val="24"/>
        </w:rPr>
        <w:t>级；蟑迹查获率小于或等于</w:t>
      </w:r>
      <w:r>
        <w:rPr>
          <w:rFonts w:ascii="仿宋" w:hAnsi="仿宋" w:eastAsia="仿宋"/>
          <w:sz w:val="24"/>
        </w:rPr>
        <w:t>3%</w:t>
      </w:r>
      <w:r>
        <w:rPr>
          <w:rFonts w:hint="eastAsia" w:ascii="仿宋" w:hAnsi="仿宋" w:eastAsia="仿宋"/>
          <w:sz w:val="24"/>
        </w:rPr>
        <w:t>。</w:t>
      </w:r>
    </w:p>
    <w:p w14:paraId="444E1457">
      <w:pPr>
        <w:spacing w:line="380" w:lineRule="exact"/>
        <w:jc w:val="left"/>
        <w:rPr>
          <w:rFonts w:ascii="仿宋" w:hAnsi="仿宋" w:eastAsia="仿宋"/>
          <w:sz w:val="24"/>
        </w:rPr>
      </w:pPr>
    </w:p>
    <w:p w14:paraId="444E1458">
      <w:pPr>
        <w:spacing w:line="380" w:lineRule="exact"/>
        <w:jc w:val="left"/>
        <w:rPr>
          <w:rFonts w:ascii="仿宋" w:hAnsi="仿宋" w:eastAsia="仿宋"/>
          <w:sz w:val="24"/>
        </w:rPr>
      </w:pPr>
      <w:r>
        <w:rPr>
          <w:rFonts w:hint="eastAsia" w:ascii="仿宋" w:hAnsi="仿宋" w:eastAsia="仿宋"/>
          <w:sz w:val="24"/>
        </w:rPr>
        <w:t>鼠密度控制标准；</w:t>
      </w:r>
    </w:p>
    <w:p w14:paraId="444E1459">
      <w:pPr>
        <w:numPr>
          <w:ilvl w:val="0"/>
          <w:numId w:val="12"/>
        </w:numPr>
        <w:spacing w:line="380" w:lineRule="exact"/>
        <w:jc w:val="left"/>
        <w:rPr>
          <w:rFonts w:ascii="仿宋" w:hAnsi="仿宋" w:eastAsia="仿宋"/>
          <w:sz w:val="24"/>
        </w:rPr>
      </w:pPr>
      <w:r>
        <w:rPr>
          <w:rFonts w:hint="eastAsia" w:ascii="仿宋" w:hAnsi="仿宋" w:eastAsia="仿宋"/>
          <w:sz w:val="24"/>
        </w:rPr>
        <w:t>防鼠设施达到</w:t>
      </w:r>
      <w:r>
        <w:rPr>
          <w:rFonts w:ascii="仿宋" w:hAnsi="仿宋" w:eastAsia="仿宋"/>
          <w:sz w:val="24"/>
        </w:rPr>
        <w:t>A</w:t>
      </w:r>
      <w:r>
        <w:rPr>
          <w:rFonts w:hint="eastAsia" w:ascii="仿宋" w:hAnsi="仿宋" w:eastAsia="仿宋"/>
          <w:sz w:val="24"/>
        </w:rPr>
        <w:t>级；防鼠设施合格率为</w:t>
      </w:r>
      <w:r>
        <w:rPr>
          <w:rFonts w:ascii="仿宋" w:hAnsi="仿宋" w:eastAsia="仿宋"/>
          <w:sz w:val="24"/>
        </w:rPr>
        <w:t>98%</w:t>
      </w:r>
      <w:r>
        <w:rPr>
          <w:rFonts w:hint="eastAsia" w:ascii="仿宋" w:hAnsi="仿宋" w:eastAsia="仿宋"/>
          <w:sz w:val="24"/>
        </w:rPr>
        <w:t>；</w:t>
      </w:r>
    </w:p>
    <w:p w14:paraId="444E145A">
      <w:pPr>
        <w:numPr>
          <w:ilvl w:val="0"/>
          <w:numId w:val="12"/>
        </w:numPr>
        <w:spacing w:line="380" w:lineRule="exact"/>
        <w:jc w:val="left"/>
        <w:rPr>
          <w:rFonts w:ascii="仿宋" w:hAnsi="仿宋" w:eastAsia="仿宋"/>
          <w:sz w:val="24"/>
        </w:rPr>
      </w:pPr>
      <w:r>
        <w:rPr>
          <w:rFonts w:hint="eastAsia" w:ascii="仿宋" w:hAnsi="仿宋" w:eastAsia="仿宋"/>
          <w:sz w:val="24"/>
        </w:rPr>
        <w:t>室内鼠密度控制水平达到</w:t>
      </w:r>
      <w:r>
        <w:rPr>
          <w:rFonts w:ascii="仿宋" w:hAnsi="仿宋" w:eastAsia="仿宋"/>
          <w:sz w:val="24"/>
        </w:rPr>
        <w:t>A</w:t>
      </w:r>
      <w:r>
        <w:rPr>
          <w:rFonts w:hint="eastAsia" w:ascii="仿宋" w:hAnsi="仿宋" w:eastAsia="仿宋"/>
          <w:sz w:val="24"/>
        </w:rPr>
        <w:t>级；鼠迹阳性率小于或等于</w:t>
      </w:r>
      <w:r>
        <w:rPr>
          <w:rFonts w:ascii="仿宋" w:hAnsi="仿宋" w:eastAsia="仿宋"/>
          <w:sz w:val="24"/>
        </w:rPr>
        <w:t>1%</w:t>
      </w:r>
      <w:r>
        <w:rPr>
          <w:rFonts w:hint="eastAsia" w:ascii="仿宋" w:hAnsi="仿宋" w:eastAsia="仿宋"/>
          <w:sz w:val="24"/>
        </w:rPr>
        <w:t>；</w:t>
      </w:r>
    </w:p>
    <w:p w14:paraId="444E145B">
      <w:pPr>
        <w:numPr>
          <w:ilvl w:val="0"/>
          <w:numId w:val="12"/>
        </w:numPr>
        <w:spacing w:line="380" w:lineRule="exact"/>
        <w:jc w:val="left"/>
        <w:rPr>
          <w:rFonts w:ascii="仿宋" w:hAnsi="仿宋" w:eastAsia="仿宋"/>
          <w:sz w:val="24"/>
        </w:rPr>
      </w:pPr>
      <w:r>
        <w:rPr>
          <w:rFonts w:hint="eastAsia" w:ascii="仿宋" w:hAnsi="仿宋" w:eastAsia="仿宋"/>
          <w:sz w:val="24"/>
        </w:rPr>
        <w:t>外环境鼠密度控制水平达到</w:t>
      </w:r>
      <w:r>
        <w:rPr>
          <w:rFonts w:ascii="仿宋" w:hAnsi="仿宋" w:eastAsia="仿宋"/>
          <w:sz w:val="24"/>
        </w:rPr>
        <w:t>B</w:t>
      </w:r>
      <w:r>
        <w:rPr>
          <w:rFonts w:hint="eastAsia" w:ascii="仿宋" w:hAnsi="仿宋" w:eastAsia="仿宋"/>
          <w:sz w:val="24"/>
        </w:rPr>
        <w:t>级；路径指数小于或等于</w:t>
      </w:r>
      <w:r>
        <w:rPr>
          <w:rFonts w:ascii="仿宋" w:hAnsi="仿宋" w:eastAsia="仿宋"/>
          <w:sz w:val="24"/>
        </w:rPr>
        <w:t>3</w:t>
      </w:r>
      <w:r>
        <w:rPr>
          <w:rFonts w:hint="eastAsia" w:ascii="仿宋" w:hAnsi="仿宋" w:eastAsia="仿宋"/>
          <w:sz w:val="24"/>
        </w:rPr>
        <w:t>。</w:t>
      </w:r>
    </w:p>
    <w:sectPr>
      <w:headerReference r:id="rId5" w:type="default"/>
      <w:footerReference r:id="rId6" w:type="default"/>
      <w:pgSz w:w="11906" w:h="16838"/>
      <w:pgMar w:top="1440" w:right="1800" w:bottom="1440" w:left="1800" w:header="851" w:footer="992" w:gutter="0"/>
      <w:cols w:space="425" w:num="1"/>
      <w:docGrid w:type="lines"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陈扩民" w:date="2025-01-24T14:38:00Z" w:initials="">
    <w:p w14:paraId="444E145C">
      <w:pPr>
        <w:pStyle w:val="2"/>
      </w:pPr>
      <w:r>
        <w:rPr>
          <w:rFonts w:hint="eastAsia"/>
        </w:rPr>
        <w:t>建议明确相应资质和专业能力</w:t>
      </w:r>
    </w:p>
  </w:comment>
  <w:comment w:id="1" w:author="陈扩民" w:date="2025-01-24T14:53:00Z" w:initials="">
    <w:p w14:paraId="444E145D">
      <w:pPr>
        <w:pStyle w:val="2"/>
      </w:pPr>
      <w:r>
        <w:rPr>
          <w:rFonts w:hint="eastAsia"/>
        </w:rPr>
        <w:t>请补充甲方开票信息</w:t>
      </w:r>
    </w:p>
  </w:comment>
  <w:comment w:id="2" w:author="陈扩民" w:date="2025-01-24T14:56:00Z" w:initials="">
    <w:p w14:paraId="444E145E">
      <w:pPr>
        <w:pStyle w:val="2"/>
      </w:pPr>
      <w:r>
        <w:rPr>
          <w:rFonts w:hint="eastAsia"/>
        </w:rPr>
        <w:t>建议明确“要求”的具体标准，防止出现责任无法划分的情形</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444E145C" w15:done="0"/>
  <w15:commentEx w15:paraId="444E145D" w15:done="0"/>
  <w15:commentEx w15:paraId="444E145E"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4E1460">
    <w:pPr>
      <w:pStyle w:val="5"/>
      <w:ind w:firstLine="480"/>
      <w:jc w:val="center"/>
    </w:pPr>
    <w:sdt>
      <w:sdtPr>
        <w:id w:val="98381352"/>
        <w:docPartObj>
          <w:docPartGallery w:val="autotext"/>
        </w:docPartObj>
      </w:sdtPr>
      <w:sdtContent>
        <w:r>
          <w:rPr>
            <w:rFonts w:hint="eastAsia"/>
            <w:szCs w:val="18"/>
          </w:rPr>
          <w:t>第</w:t>
        </w:r>
        <w:r>
          <w:rPr>
            <w:b/>
            <w:bCs/>
            <w:sz w:val="24"/>
            <w:szCs w:val="18"/>
          </w:rPr>
          <w:fldChar w:fldCharType="begin"/>
        </w:r>
        <w:r>
          <w:rPr>
            <w:b/>
            <w:bCs/>
            <w:szCs w:val="18"/>
          </w:rPr>
          <w:instrText xml:space="preserve"> PAGE </w:instrText>
        </w:r>
        <w:r>
          <w:rPr>
            <w:b/>
            <w:bCs/>
            <w:sz w:val="24"/>
            <w:szCs w:val="18"/>
          </w:rPr>
          <w:fldChar w:fldCharType="separate"/>
        </w:r>
        <w:r>
          <w:rPr>
            <w:b/>
            <w:bCs/>
            <w:szCs w:val="18"/>
          </w:rPr>
          <w:t>8</w:t>
        </w:r>
        <w:r>
          <w:rPr>
            <w:b/>
            <w:bCs/>
            <w:sz w:val="24"/>
            <w:szCs w:val="18"/>
          </w:rPr>
          <w:fldChar w:fldCharType="end"/>
        </w:r>
        <w:r>
          <w:rPr>
            <w:rFonts w:hint="eastAsia"/>
            <w:b/>
            <w:bCs/>
            <w:sz w:val="24"/>
            <w:szCs w:val="18"/>
          </w:rPr>
          <w:t>页</w:t>
        </w:r>
        <w:r>
          <w:rPr>
            <w:rFonts w:hint="eastAsia"/>
            <w:szCs w:val="18"/>
          </w:rPr>
          <w:t>，共</w:t>
        </w:r>
        <w:r>
          <w:rPr>
            <w:b/>
            <w:bCs/>
            <w:sz w:val="24"/>
            <w:szCs w:val="18"/>
          </w:rPr>
          <w:fldChar w:fldCharType="begin"/>
        </w:r>
        <w:r>
          <w:rPr>
            <w:b/>
            <w:bCs/>
            <w:szCs w:val="18"/>
          </w:rPr>
          <w:instrText xml:space="preserve"> NUMPAGES  </w:instrText>
        </w:r>
        <w:r>
          <w:rPr>
            <w:b/>
            <w:bCs/>
            <w:sz w:val="24"/>
            <w:szCs w:val="18"/>
          </w:rPr>
          <w:fldChar w:fldCharType="separate"/>
        </w:r>
        <w:r>
          <w:rPr>
            <w:b/>
            <w:bCs/>
            <w:szCs w:val="18"/>
          </w:rPr>
          <w:t>9</w:t>
        </w:r>
        <w:r>
          <w:rPr>
            <w:b/>
            <w:bCs/>
            <w:sz w:val="24"/>
            <w:szCs w:val="18"/>
          </w:rPr>
          <w:fldChar w:fldCharType="end"/>
        </w:r>
        <w:r>
          <w:rPr>
            <w:rFonts w:hint="eastAsia"/>
            <w:b/>
            <w:bCs/>
            <w:sz w:val="24"/>
            <w:szCs w:val="18"/>
          </w:rPr>
          <w:t>页</w:t>
        </w:r>
      </w:sdtContent>
    </w:sdt>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4E145F">
    <w:pPr>
      <w:pStyle w:val="5"/>
      <w:pBdr>
        <w:bottom w:val="single" w:color="auto" w:sz="4" w:space="1"/>
      </w:pBdr>
      <w:tabs>
        <w:tab w:val="clear" w:pos="4153"/>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singleLevel"/>
    <w:tmpl w:val="00000001"/>
    <w:lvl w:ilvl="0" w:tentative="0">
      <w:start w:val="1"/>
      <w:numFmt w:val="decimal"/>
      <w:suff w:val="space"/>
      <w:lvlText w:val="%1."/>
      <w:lvlJc w:val="left"/>
    </w:lvl>
  </w:abstractNum>
  <w:abstractNum w:abstractNumId="1">
    <w:nsid w:val="00000002"/>
    <w:multiLevelType w:val="singleLevel"/>
    <w:tmpl w:val="00000002"/>
    <w:lvl w:ilvl="0" w:tentative="0">
      <w:start w:val="1"/>
      <w:numFmt w:val="decimal"/>
      <w:suff w:val="nothing"/>
      <w:lvlText w:val="%1."/>
      <w:lvlJc w:val="left"/>
    </w:lvl>
  </w:abstractNum>
  <w:abstractNum w:abstractNumId="2">
    <w:nsid w:val="00000003"/>
    <w:multiLevelType w:val="singleLevel"/>
    <w:tmpl w:val="00000003"/>
    <w:lvl w:ilvl="0" w:tentative="0">
      <w:start w:val="1"/>
      <w:numFmt w:val="bullet"/>
      <w:lvlText w:val=""/>
      <w:lvlJc w:val="left"/>
      <w:pPr>
        <w:ind w:left="420" w:hanging="420"/>
      </w:pPr>
      <w:rPr>
        <w:rFonts w:hint="default" w:ascii="Wingdings" w:hAnsi="Wingdings"/>
      </w:rPr>
    </w:lvl>
  </w:abstractNum>
  <w:abstractNum w:abstractNumId="3">
    <w:nsid w:val="00000009"/>
    <w:multiLevelType w:val="singleLevel"/>
    <w:tmpl w:val="00000009"/>
    <w:lvl w:ilvl="0" w:tentative="0">
      <w:start w:val="7"/>
      <w:numFmt w:val="chineseCounting"/>
      <w:suff w:val="space"/>
      <w:lvlText w:val="第%1章"/>
      <w:lvlJc w:val="left"/>
    </w:lvl>
  </w:abstractNum>
  <w:abstractNum w:abstractNumId="4">
    <w:nsid w:val="0000000A"/>
    <w:multiLevelType w:val="singleLevel"/>
    <w:tmpl w:val="0000000A"/>
    <w:lvl w:ilvl="0" w:tentative="0">
      <w:start w:val="6"/>
      <w:numFmt w:val="chineseCounting"/>
      <w:suff w:val="space"/>
      <w:lvlText w:val="第%1章"/>
      <w:lvlJc w:val="left"/>
    </w:lvl>
  </w:abstractNum>
  <w:abstractNum w:abstractNumId="5">
    <w:nsid w:val="0000000B"/>
    <w:multiLevelType w:val="singleLevel"/>
    <w:tmpl w:val="0000000B"/>
    <w:lvl w:ilvl="0" w:tentative="0">
      <w:start w:val="5"/>
      <w:numFmt w:val="chineseCounting"/>
      <w:suff w:val="space"/>
      <w:lvlText w:val="第%1章"/>
      <w:lvlJc w:val="left"/>
    </w:lvl>
  </w:abstractNum>
  <w:abstractNum w:abstractNumId="6">
    <w:nsid w:val="0000000C"/>
    <w:multiLevelType w:val="singleLevel"/>
    <w:tmpl w:val="0000000C"/>
    <w:lvl w:ilvl="0" w:tentative="0">
      <w:start w:val="4"/>
      <w:numFmt w:val="chineseCounting"/>
      <w:suff w:val="space"/>
      <w:lvlText w:val="第%1章"/>
      <w:lvlJc w:val="left"/>
    </w:lvl>
  </w:abstractNum>
  <w:abstractNum w:abstractNumId="7">
    <w:nsid w:val="0000000D"/>
    <w:multiLevelType w:val="singleLevel"/>
    <w:tmpl w:val="0000000D"/>
    <w:lvl w:ilvl="0" w:tentative="0">
      <w:start w:val="3"/>
      <w:numFmt w:val="chineseCounting"/>
      <w:suff w:val="space"/>
      <w:lvlText w:val="第%1章"/>
      <w:lvlJc w:val="left"/>
    </w:lvl>
  </w:abstractNum>
  <w:abstractNum w:abstractNumId="8">
    <w:nsid w:val="0000000E"/>
    <w:multiLevelType w:val="singleLevel"/>
    <w:tmpl w:val="0000000E"/>
    <w:lvl w:ilvl="0" w:tentative="0">
      <w:start w:val="2"/>
      <w:numFmt w:val="chineseCounting"/>
      <w:suff w:val="space"/>
      <w:lvlText w:val="第%1章"/>
      <w:lvlJc w:val="left"/>
    </w:lvl>
  </w:abstractNum>
  <w:abstractNum w:abstractNumId="9">
    <w:nsid w:val="0000000F"/>
    <w:multiLevelType w:val="singleLevel"/>
    <w:tmpl w:val="0000000F"/>
    <w:lvl w:ilvl="0" w:tentative="0">
      <w:start w:val="1"/>
      <w:numFmt w:val="chineseCounting"/>
      <w:suff w:val="space"/>
      <w:lvlText w:val="第%1章"/>
      <w:lvlJc w:val="left"/>
    </w:lvl>
  </w:abstractNum>
  <w:abstractNum w:abstractNumId="10">
    <w:nsid w:val="00000010"/>
    <w:multiLevelType w:val="singleLevel"/>
    <w:tmpl w:val="00000010"/>
    <w:lvl w:ilvl="0" w:tentative="0">
      <w:start w:val="1"/>
      <w:numFmt w:val="bullet"/>
      <w:lvlText w:val=""/>
      <w:lvlJc w:val="left"/>
      <w:pPr>
        <w:ind w:left="420" w:hanging="420"/>
      </w:pPr>
      <w:rPr>
        <w:rFonts w:hint="default" w:ascii="Wingdings" w:hAnsi="Wingdings"/>
      </w:rPr>
    </w:lvl>
  </w:abstractNum>
  <w:abstractNum w:abstractNumId="11">
    <w:nsid w:val="519B6647"/>
    <w:multiLevelType w:val="singleLevel"/>
    <w:tmpl w:val="519B6647"/>
    <w:lvl w:ilvl="0" w:tentative="0">
      <w:start w:val="1"/>
      <w:numFmt w:val="decimal"/>
      <w:suff w:val="space"/>
      <w:lvlText w:val="%1."/>
      <w:lvlJc w:val="left"/>
    </w:lvl>
  </w:abstractNum>
  <w:num w:numId="1">
    <w:abstractNumId w:val="9"/>
  </w:num>
  <w:num w:numId="2">
    <w:abstractNumId w:val="8"/>
  </w:num>
  <w:num w:numId="3">
    <w:abstractNumId w:val="7"/>
  </w:num>
  <w:num w:numId="4">
    <w:abstractNumId w:val="6"/>
  </w:num>
  <w:num w:numId="5">
    <w:abstractNumId w:val="10"/>
  </w:num>
  <w:num w:numId="6">
    <w:abstractNumId w:val="2"/>
  </w:num>
  <w:num w:numId="7">
    <w:abstractNumId w:val="5"/>
  </w:num>
  <w:num w:numId="8">
    <w:abstractNumId w:val="4"/>
  </w:num>
  <w:num w:numId="9">
    <w:abstractNumId w:val="3"/>
  </w:num>
  <w:num w:numId="10">
    <w:abstractNumId w:val="11"/>
  </w:num>
  <w:num w:numId="11">
    <w:abstractNumId w:val="0"/>
  </w:num>
  <w:num w:numId="12">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陈扩民">
    <w15:presenceInfo w15:providerId="None" w15:userId="陈扩民"/>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VhNGJiMWVmZTg4ZjFhYWZhYWFiMzBkODkwYWRkZmUifQ=="/>
  </w:docVars>
  <w:rsids>
    <w:rsidRoot w:val="00352587"/>
    <w:rsid w:val="0006115E"/>
    <w:rsid w:val="00081825"/>
    <w:rsid w:val="000D063F"/>
    <w:rsid w:val="00123F6B"/>
    <w:rsid w:val="00151543"/>
    <w:rsid w:val="00204407"/>
    <w:rsid w:val="00220F9B"/>
    <w:rsid w:val="0030244C"/>
    <w:rsid w:val="00352587"/>
    <w:rsid w:val="003C70A9"/>
    <w:rsid w:val="003E2136"/>
    <w:rsid w:val="00465091"/>
    <w:rsid w:val="00491AA5"/>
    <w:rsid w:val="004C7CAE"/>
    <w:rsid w:val="00500DF2"/>
    <w:rsid w:val="00515C47"/>
    <w:rsid w:val="00540B6B"/>
    <w:rsid w:val="005416C5"/>
    <w:rsid w:val="00545080"/>
    <w:rsid w:val="005A5BC8"/>
    <w:rsid w:val="006B180A"/>
    <w:rsid w:val="007075EB"/>
    <w:rsid w:val="007969FB"/>
    <w:rsid w:val="007F6999"/>
    <w:rsid w:val="008A240E"/>
    <w:rsid w:val="009452B2"/>
    <w:rsid w:val="009D7281"/>
    <w:rsid w:val="00A14D50"/>
    <w:rsid w:val="00A16313"/>
    <w:rsid w:val="00A67696"/>
    <w:rsid w:val="00AD5D99"/>
    <w:rsid w:val="00B67895"/>
    <w:rsid w:val="00BA4BAB"/>
    <w:rsid w:val="00C50628"/>
    <w:rsid w:val="00CB7A07"/>
    <w:rsid w:val="00E17410"/>
    <w:rsid w:val="00E7013E"/>
    <w:rsid w:val="00FB6FA0"/>
    <w:rsid w:val="0FD71E9A"/>
    <w:rsid w:val="11AD4E5D"/>
    <w:rsid w:val="14CB6849"/>
    <w:rsid w:val="2B5D2E4A"/>
    <w:rsid w:val="332A732F"/>
    <w:rsid w:val="33F14C47"/>
    <w:rsid w:val="45512DC5"/>
    <w:rsid w:val="4C586E50"/>
    <w:rsid w:val="53DF1623"/>
    <w:rsid w:val="68B95F6B"/>
    <w:rsid w:val="708D44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annotation text"/>
    <w:basedOn w:val="1"/>
    <w:semiHidden/>
    <w:unhideWhenUsed/>
    <w:uiPriority w:val="99"/>
    <w:pPr>
      <w:jc w:val="left"/>
    </w:pPr>
  </w:style>
  <w:style w:type="paragraph" w:styleId="3">
    <w:name w:val="Balloon Text"/>
    <w:basedOn w:val="1"/>
    <w:link w:val="12"/>
    <w:qFormat/>
    <w:uiPriority w:val="0"/>
    <w:rPr>
      <w:sz w:val="18"/>
      <w:szCs w:val="18"/>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link w:val="16"/>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Normal (Web)"/>
    <w:basedOn w:val="1"/>
    <w:qFormat/>
    <w:uiPriority w:val="99"/>
    <w:pPr>
      <w:widowControl/>
      <w:spacing w:before="100" w:beforeAutospacing="1" w:after="100" w:afterAutospacing="1" w:line="560" w:lineRule="exact"/>
      <w:ind w:firstLine="880" w:firstLineChars="200"/>
      <w:jc w:val="left"/>
    </w:pPr>
    <w:rPr>
      <w:rFonts w:ascii="Times New Roman" w:hAnsi="Times New Roman" w:eastAsia="仿宋_GB2312" w:cs="Times New Roman"/>
      <w:kern w:val="0"/>
      <w:sz w:val="24"/>
      <w:szCs w:val="20"/>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annotation reference"/>
    <w:basedOn w:val="9"/>
    <w:semiHidden/>
    <w:unhideWhenUsed/>
    <w:qFormat/>
    <w:uiPriority w:val="99"/>
    <w:rPr>
      <w:sz w:val="21"/>
      <w:szCs w:val="21"/>
    </w:rPr>
  </w:style>
  <w:style w:type="paragraph" w:customStyle="1" w:styleId="11">
    <w:name w:val="0"/>
    <w:basedOn w:val="1"/>
    <w:qFormat/>
    <w:uiPriority w:val="0"/>
    <w:pPr>
      <w:widowControl/>
      <w:jc w:val="left"/>
    </w:pPr>
    <w:rPr>
      <w:kern w:val="0"/>
      <w:sz w:val="20"/>
      <w:szCs w:val="20"/>
    </w:rPr>
  </w:style>
  <w:style w:type="character" w:customStyle="1" w:styleId="12">
    <w:name w:val="Balloon Text Char"/>
    <w:basedOn w:val="9"/>
    <w:link w:val="3"/>
    <w:qFormat/>
    <w:uiPriority w:val="0"/>
    <w:rPr>
      <w:kern w:val="2"/>
      <w:sz w:val="18"/>
      <w:szCs w:val="18"/>
    </w:rPr>
  </w:style>
  <w:style w:type="paragraph" w:styleId="13">
    <w:name w:val="List Paragraph"/>
    <w:basedOn w:val="1"/>
    <w:qFormat/>
    <w:uiPriority w:val="34"/>
    <w:pPr>
      <w:ind w:firstLine="420" w:firstLineChars="200"/>
    </w:pPr>
  </w:style>
  <w:style w:type="paragraph" w:customStyle="1" w:styleId="14">
    <w:name w:val="Revision1"/>
    <w:hidden/>
    <w:semiHidden/>
    <w:qFormat/>
    <w:uiPriority w:val="99"/>
    <w:rPr>
      <w:rFonts w:ascii="Calibri" w:hAnsi="Calibri" w:eastAsia="宋体" w:cs="宋体"/>
      <w:kern w:val="2"/>
      <w:sz w:val="21"/>
      <w:szCs w:val="24"/>
      <w:lang w:val="en-US" w:eastAsia="zh-CN" w:bidi="ar-SA"/>
    </w:rPr>
  </w:style>
  <w:style w:type="paragraph" w:customStyle="1" w:styleId="15">
    <w:name w:val="Revision2"/>
    <w:hidden/>
    <w:semiHidden/>
    <w:qFormat/>
    <w:uiPriority w:val="99"/>
    <w:rPr>
      <w:rFonts w:ascii="Calibri" w:hAnsi="Calibri" w:eastAsia="宋体" w:cs="宋体"/>
      <w:kern w:val="2"/>
      <w:sz w:val="21"/>
      <w:szCs w:val="24"/>
      <w:lang w:val="en-US" w:eastAsia="zh-CN" w:bidi="ar-SA"/>
    </w:rPr>
  </w:style>
  <w:style w:type="character" w:customStyle="1" w:styleId="16">
    <w:name w:val="Header Char"/>
    <w:basedOn w:val="9"/>
    <w:link w:val="5"/>
    <w:qFormat/>
    <w:uiPriority w:val="99"/>
    <w:rPr>
      <w:kern w:val="2"/>
      <w:sz w:val="18"/>
      <w:szCs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1" Type="http://schemas.microsoft.com/office/2011/relationships/people" Target="people.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BE6CA3-E896-405C-B0B6-E4AEEC9237FB}">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9</Pages>
  <Words>747</Words>
  <Characters>802</Characters>
  <Lines>7</Lines>
  <Paragraphs>11</Paragraphs>
  <TotalTime>1177</TotalTime>
  <ScaleCrop>false</ScaleCrop>
  <LinksUpToDate>false</LinksUpToDate>
  <CharactersWithSpaces>849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2021-04-09T09:11:00Z</dcterms:created>
  <dc:creator>toshiba</dc:creator>
  <cp:lastModifiedBy>wayne wang</cp:lastModifiedBy>
  <cp:lastPrinted>2023-07-24T02:58:00Z</cp:lastPrinted>
  <dcterms:modified xsi:type="dcterms:W3CDTF">2025-11-20T08:32:23Z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4DD7719E031C4D20A886C59147ED9A8A_13</vt:lpwstr>
  </property>
  <property fmtid="{D5CDD505-2E9C-101B-9397-08002B2CF9AE}" pid="4" name="KSOTemplateDocerSaveRecord">
    <vt:lpwstr>eyJoZGlkIjoiMWQwMjMwOTRlNDYzNDM5MWU2NWI5OWVhODRhMjE4NGMiLCJ1c2VySWQiOiI0NTY4NzU1NDcifQ==</vt:lpwstr>
  </property>
</Properties>
</file>