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532D">
      <w:pPr>
        <w:jc w:val="left"/>
        <w:rPr>
          <w:rFonts w:hint="eastAsia" w:ascii="仿宋_GB2312" w:hAnsi="宋体" w:eastAsia="仿宋_GB2312" w:cs="仿宋_GB2312"/>
          <w:sz w:val="27"/>
          <w:szCs w:val="27"/>
          <w:highlight w:val="none"/>
          <w:u w:val="none" w:color="auto"/>
          <w:lang w:eastAsia="zh-CN"/>
        </w:rPr>
      </w:pPr>
      <w:r>
        <w:rPr>
          <w:rFonts w:hint="eastAsia" w:ascii="仿宋_GB2312" w:hAnsi="宋体" w:eastAsia="仿宋_GB2312" w:cs="仿宋_GB2312"/>
          <w:sz w:val="27"/>
          <w:szCs w:val="27"/>
          <w:highlight w:val="none"/>
          <w:u w:val="none" w:color="auto"/>
        </w:rPr>
        <w:t>合同编号：</w:t>
      </w:r>
      <w:r>
        <w:rPr>
          <w:rFonts w:hint="eastAsia" w:ascii="仿宋_GB2312" w:hAnsi="宋体" w:eastAsia="仿宋_GB2312" w:cs="仿宋_GB2312"/>
          <w:sz w:val="27"/>
          <w:szCs w:val="27"/>
          <w:highlight w:val="none"/>
          <w:u w:val="none" w:color="auto"/>
          <w:lang w:val="en-US" w:eastAsia="zh-CN"/>
        </w:rPr>
        <w:t xml:space="preserve"> </w:t>
      </w:r>
    </w:p>
    <w:p w14:paraId="43E62D3A">
      <w:pPr>
        <w:spacing w:line="700" w:lineRule="exact"/>
        <w:ind w:firstLine="964"/>
        <w:rPr>
          <w:rFonts w:ascii="仿宋" w:hAnsi="仿宋" w:eastAsia="仿宋" w:cs="仿宋"/>
          <w:b/>
          <w:bCs/>
          <w:sz w:val="48"/>
          <w:highlight w:val="none"/>
          <w:u w:val="none" w:color="auto"/>
        </w:rPr>
      </w:pPr>
    </w:p>
    <w:p w14:paraId="4A75894E">
      <w:pPr>
        <w:spacing w:line="500" w:lineRule="exact"/>
        <w:ind w:firstLine="482"/>
        <w:rPr>
          <w:rFonts w:ascii="仿宋" w:hAnsi="仿宋" w:eastAsia="仿宋" w:cs="仿宋"/>
          <w:b/>
          <w:sz w:val="24"/>
          <w:highlight w:val="none"/>
          <w:u w:val="none" w:color="auto"/>
        </w:rPr>
      </w:pPr>
    </w:p>
    <w:p w14:paraId="1038FFC2">
      <w:pPr>
        <w:spacing w:line="500" w:lineRule="exact"/>
        <w:ind w:firstLine="482"/>
        <w:rPr>
          <w:rFonts w:ascii="仿宋" w:hAnsi="仿宋" w:eastAsia="仿宋" w:cs="仿宋"/>
          <w:b/>
          <w:sz w:val="24"/>
          <w:highlight w:val="none"/>
          <w:u w:val="none" w:color="auto"/>
        </w:rPr>
      </w:pPr>
    </w:p>
    <w:p w14:paraId="5398D666">
      <w:pPr>
        <w:spacing w:line="700" w:lineRule="exact"/>
        <w:ind w:firstLine="964"/>
        <w:jc w:val="center"/>
        <w:rPr>
          <w:rFonts w:ascii="仿宋" w:hAnsi="仿宋" w:eastAsia="仿宋" w:cs="仿宋"/>
          <w:b/>
          <w:bCs/>
          <w:sz w:val="48"/>
          <w:highlight w:val="none"/>
          <w:u w:val="none" w:color="auto"/>
        </w:rPr>
      </w:pPr>
    </w:p>
    <w:p w14:paraId="48551F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方正小标宋简体" w:hAnsi="方正大标宋简体" w:eastAsia="方正小标宋简体" w:cs="方正大标宋简体"/>
          <w:bCs/>
          <w:color w:val="000000" w:themeColor="text1"/>
          <w:sz w:val="44"/>
          <w:szCs w:val="4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方正大标宋简体"/>
          <w:bCs/>
          <w:color w:val="000000" w:themeColor="text1"/>
          <w:sz w:val="44"/>
          <w:szCs w:val="48"/>
          <w:highlight w:val="none"/>
          <w:u w:val="none" w:color="auto"/>
          <w14:textFill>
            <w14:solidFill>
              <w14:schemeClr w14:val="tx1"/>
            </w14:solidFill>
          </w14:textFill>
        </w:rPr>
        <w:t>龙华建设2025-2026年度微信公众号运营</w:t>
      </w:r>
    </w:p>
    <w:p w14:paraId="1B73AA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方正小标宋简体" w:hAnsi="方正大标宋简体" w:eastAsia="方正小标宋简体" w:cs="方正大标宋简体"/>
          <w:bCs/>
          <w:color w:val="000000" w:themeColor="text1"/>
          <w:sz w:val="44"/>
          <w:szCs w:val="4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方正大标宋简体"/>
          <w:bCs/>
          <w:color w:val="000000" w:themeColor="text1"/>
          <w:sz w:val="44"/>
          <w:szCs w:val="48"/>
          <w:highlight w:val="none"/>
          <w:u w:val="none" w:color="auto"/>
          <w14:textFill>
            <w14:solidFill>
              <w14:schemeClr w14:val="tx1"/>
            </w14:solidFill>
          </w14:textFill>
        </w:rPr>
        <w:t>及媒体宣传服务</w:t>
      </w:r>
    </w:p>
    <w:p w14:paraId="6F3F60E7">
      <w:pPr>
        <w:jc w:val="center"/>
        <w:rPr>
          <w:highlight w:val="none"/>
          <w:u w:val="none" w:color="auto"/>
        </w:rPr>
      </w:pPr>
      <w:r>
        <w:rPr>
          <w:rFonts w:hint="eastAsia" w:ascii="方正小标宋简体" w:hAnsi="方正大标宋简体" w:eastAsia="方正小标宋简体" w:cs="方正大标宋简体"/>
          <w:bCs/>
          <w:color w:val="000000" w:themeColor="text1"/>
          <w:sz w:val="44"/>
          <w:szCs w:val="4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方正小标宋简体" w:hAnsi="方正大标宋简体" w:eastAsia="方正小标宋简体" w:cs="方正大标宋简体"/>
          <w:bCs/>
          <w:color w:val="000000" w:themeColor="text1"/>
          <w:sz w:val="44"/>
          <w:szCs w:val="4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协议</w:t>
      </w:r>
    </w:p>
    <w:p w14:paraId="78AF316B">
      <w:pPr>
        <w:spacing w:line="700" w:lineRule="exact"/>
        <w:ind w:firstLine="420"/>
        <w:jc w:val="center"/>
        <w:rPr>
          <w:rFonts w:ascii="仿宋" w:hAnsi="仿宋" w:eastAsia="仿宋" w:cs="仿宋"/>
          <w:highlight w:val="none"/>
          <w:u w:val="none" w:color="auto"/>
        </w:rPr>
      </w:pPr>
    </w:p>
    <w:p w14:paraId="3B3C037B">
      <w:pPr>
        <w:spacing w:line="700" w:lineRule="exact"/>
        <w:ind w:firstLine="420"/>
        <w:jc w:val="center"/>
        <w:rPr>
          <w:rFonts w:ascii="仿宋" w:hAnsi="仿宋" w:eastAsia="仿宋" w:cs="仿宋"/>
          <w:highlight w:val="none"/>
          <w:u w:val="none" w:color="auto"/>
        </w:rPr>
      </w:pPr>
    </w:p>
    <w:p w14:paraId="7C9A9C8D">
      <w:pPr>
        <w:spacing w:line="700" w:lineRule="exact"/>
        <w:ind w:firstLine="420"/>
        <w:jc w:val="center"/>
        <w:rPr>
          <w:rFonts w:ascii="仿宋" w:hAnsi="仿宋" w:eastAsia="仿宋" w:cs="仿宋"/>
          <w:highlight w:val="none"/>
          <w:u w:val="none" w:color="auto"/>
        </w:rPr>
      </w:pPr>
    </w:p>
    <w:p w14:paraId="7517270B">
      <w:pPr>
        <w:ind w:firstLine="560"/>
        <w:rPr>
          <w:rFonts w:ascii="仿宋" w:hAnsi="仿宋" w:eastAsia="仿宋" w:cs="仿宋"/>
          <w:sz w:val="28"/>
          <w:highlight w:val="none"/>
          <w:u w:val="none" w:color="auto"/>
        </w:rPr>
      </w:pPr>
    </w:p>
    <w:p w14:paraId="1D5B525A">
      <w:pPr>
        <w:pStyle w:val="3"/>
        <w:rPr>
          <w:rFonts w:ascii="仿宋" w:hAnsi="仿宋" w:eastAsia="仿宋" w:cs="仿宋"/>
          <w:sz w:val="28"/>
          <w:highlight w:val="none"/>
          <w:u w:val="none" w:color="auto"/>
        </w:rPr>
      </w:pPr>
    </w:p>
    <w:p w14:paraId="6316C672">
      <w:pPr>
        <w:rPr>
          <w:highlight w:val="none"/>
          <w:u w:val="none" w:color="auto"/>
        </w:rPr>
      </w:pPr>
    </w:p>
    <w:p w14:paraId="131C4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none" w:color="auto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u w:val="none" w:color="auto"/>
        </w:rPr>
        <w:t>甲方  ： 深圳市龙华建设发展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 w:color="auto"/>
          <w:lang w:eastAsia="zh-Hans"/>
        </w:rPr>
        <w:t>集团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 w:color="auto"/>
        </w:rPr>
        <w:t>有限公司</w:t>
      </w:r>
    </w:p>
    <w:p w14:paraId="16BF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u w:val="none" w:color="auto"/>
        </w:rPr>
        <w:t xml:space="preserve">乙方  ：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 w:color="auto"/>
          <w:lang w:val="zh-TW" w:eastAsia="zh-CN"/>
        </w:rPr>
        <w:t>XXXXXXXXXX</w:t>
      </w:r>
    </w:p>
    <w:p w14:paraId="441310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u w:val="none" w:color="auto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u w:val="none" w:color="auto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  <w:highlight w:val="none"/>
          <w:u w:val="none" w:color="auto"/>
        </w:rPr>
        <w:t>龙华建设2025-2026年度微信公众号运营</w:t>
      </w:r>
    </w:p>
    <w:p w14:paraId="535769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方正小标宋简体" w:hAnsi="方正大标宋简体" w:eastAsia="方正小标宋简体" w:cs="方正大标宋简体"/>
          <w:bCs/>
          <w:color w:val="auto"/>
          <w:sz w:val="44"/>
          <w:szCs w:val="48"/>
          <w:highlight w:val="none"/>
          <w:u w:val="none" w:color="auto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u w:val="none" w:color="auto"/>
        </w:rPr>
        <w:t>及媒体宣传服务</w:t>
      </w:r>
    </w:p>
    <w:p w14:paraId="384F24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方正小标宋简体" w:hAnsi="方正大标宋简体" w:eastAsia="方正小标宋简体" w:cs="方正大标宋简体"/>
          <w:bCs/>
          <w:color w:val="auto"/>
          <w:sz w:val="44"/>
          <w:szCs w:val="48"/>
          <w:highlight w:val="none"/>
          <w:u w:val="none" w:color="auto"/>
          <w:lang w:val="zh-TW"/>
        </w:rPr>
      </w:pP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8"/>
          <w:highlight w:val="none"/>
          <w:u w:val="none" w:color="auto"/>
          <w:lang w:eastAsia="zh-TW"/>
        </w:rPr>
        <w:t>合作</w:t>
      </w: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8"/>
          <w:highlight w:val="none"/>
          <w:u w:val="none" w:color="auto"/>
          <w:lang w:val="zh-TW"/>
        </w:rPr>
        <w:t>协议</w:t>
      </w:r>
    </w:p>
    <w:p w14:paraId="080839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  <w:u w:val="none" w:color="auto"/>
          <w:lang w:val="zh-TW"/>
        </w:rPr>
      </w:pPr>
    </w:p>
    <w:p w14:paraId="69C37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  <w:u w:val="none" w:color="auto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甲方：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</w:rPr>
        <w:t>深圳市龙华建设发展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eastAsia="zh-Hans"/>
        </w:rPr>
        <w:t>集团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</w:rPr>
        <w:t>有限公司</w:t>
      </w:r>
    </w:p>
    <w:p w14:paraId="43B8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  <w:u w:val="none" w:color="auto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深圳市龙华区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Hans"/>
        </w:rPr>
        <w:t>观湖街道观盛三路</w:t>
      </w:r>
      <w:r>
        <w:rPr>
          <w:rFonts w:ascii="仿宋" w:hAnsi="仿宋" w:eastAsia="仿宋" w:cs="仿宋"/>
          <w:sz w:val="28"/>
          <w:szCs w:val="28"/>
          <w:highlight w:val="none"/>
          <w:u w:val="none" w:color="auto"/>
          <w:lang w:eastAsia="zh-Hans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Hans"/>
        </w:rPr>
        <w:t>号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ab/>
      </w:r>
    </w:p>
    <w:p w14:paraId="2B61F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联系人：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</w:p>
    <w:p w14:paraId="064E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</w:p>
    <w:p w14:paraId="60F9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  <w:u w:val="none" w:color="auto"/>
          <w:lang w:val="zh-TW"/>
        </w:rPr>
      </w:pPr>
    </w:p>
    <w:p w14:paraId="2E74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乙方：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CN"/>
        </w:rPr>
        <w:t>XXXXXXXXXX</w:t>
      </w:r>
    </w:p>
    <w:p w14:paraId="4BFF1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统一社会信用代码：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</w:p>
    <w:p w14:paraId="332F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</w:p>
    <w:p w14:paraId="3D68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zh-TW" w:eastAsia="zh-TW"/>
        </w:rPr>
        <w:t>联系人：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</w:p>
    <w:p w14:paraId="29D9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电话： </w:t>
      </w:r>
    </w:p>
    <w:p w14:paraId="6046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  <w:u w:val="none" w:color="auto"/>
        </w:rPr>
      </w:pPr>
    </w:p>
    <w:p w14:paraId="6B1A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  <w:u w:val="none" w:color="auto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Hans"/>
        </w:rPr>
        <w:t>配合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甲方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eastAsia="zh-CN"/>
        </w:rPr>
        <w:t>经济社会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Hans"/>
        </w:rPr>
        <w:t>高质量发展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目标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Hans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-CN"/>
        </w:rPr>
        <w:t>持续推进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val="zh-TW"/>
        </w:rPr>
        <w:t>经双方友好协商，由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val="en-US" w:eastAsia="zh"/>
        </w:rPr>
        <w:t>乙方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val="zh-TW" w:eastAsia="zh-CN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val="zh-TW"/>
        </w:rPr>
        <w:t>甲方提供全媒体服务，具体协议如下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</w:rPr>
        <w:t>：</w:t>
      </w:r>
    </w:p>
    <w:p w14:paraId="0A48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b/>
          <w:color w:val="auto"/>
          <w:sz w:val="28"/>
          <w:szCs w:val="28"/>
          <w:highlight w:val="none"/>
          <w:u w:val="none" w:color="auto"/>
          <w:lang w:eastAsia="zh-TW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none" w:color="auto"/>
          <w:lang w:eastAsia="zh-TW"/>
        </w:rPr>
        <w:t>一、合作时间</w:t>
      </w:r>
    </w:p>
    <w:p w14:paraId="14879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 w:color="auto"/>
          <w:lang w:eastAsia="zh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日—202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eastAsia="zh"/>
        </w:rPr>
        <w:t>。如在服务期限内未完成合同约定服务项的，服务期限顺延至本合同义务履行完毕止。</w:t>
      </w:r>
    </w:p>
    <w:p w14:paraId="096E4B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u w:val="none" w:color="auto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 w:color="auto"/>
          <w:lang w:val="zh-TW" w:eastAsia="zh-TW"/>
        </w:rPr>
        <w:t>合作内容</w:t>
      </w:r>
    </w:p>
    <w:p w14:paraId="5FD5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1、运营服务：</w:t>
      </w:r>
    </w:p>
    <w:p w14:paraId="5D60E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（1）提供集团公众号及官网运营及版面设计；</w:t>
      </w:r>
    </w:p>
    <w:p w14:paraId="0BD9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（2）素材拍摄制作整理：整理和搜集各部门文字素材；服务期间内对图片及视频素材进行整理建档；</w:t>
      </w:r>
    </w:p>
    <w:p w14:paraId="5ED6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、媒体服务：在服务期内为集团在人民网、光明网、中国网、中新网等官方平台予以发布重要宣传资讯，数量共4条，在中国商报网、深圳特区报、今日头条、一点资讯、新浪微博、腾讯新闻、搜狐新闻、百家号、网易新闻、龙华融媒等媒体平台发布宣传资讯，每年度不少于60条。</w:t>
      </w:r>
    </w:p>
    <w:p w14:paraId="6D82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3、内容维护：提供集团日常稿件撰写、校核；在重大新闻节点提供稿件支持，内容发布于央媒或本省市媒体。</w:t>
      </w:r>
    </w:p>
    <w:p w14:paraId="1710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4、活动聚焦：对集团主办或参与的重要活动，配合完成活动所需宣传展板、ppt等进行设计制作，并安排记者现场报道，报道内容发布于央媒或本省市媒体。</w:t>
      </w:r>
    </w:p>
    <w:p w14:paraId="6745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5、专人专项服务：建立专业运营团队负责该项目，团队不少于三人，均为专业在职人员，其中一名专职人员于集团指定办公场地驻点配合集团日常宣传工作。</w:t>
      </w:r>
    </w:p>
    <w:p w14:paraId="3D4E5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6、活动策划：根据集团需求，策划并统筹执行主题宣传活动一次。</w:t>
      </w:r>
    </w:p>
    <w:p w14:paraId="227FB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7、舆情监控：每月舆情监测及分析摘要。如遇舆情危机，协助制定应对方案并配合实施。</w:t>
      </w:r>
    </w:p>
    <w:p w14:paraId="7BD5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甲乙双方基于双方自愿协商一致的其他事项。</w:t>
      </w:r>
    </w:p>
    <w:p w14:paraId="3DE2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三、双方权利和义务</w:t>
      </w:r>
    </w:p>
    <w:p w14:paraId="05879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1、乙方应保证在合作期间保证具有有效的、持续的相关授权及合法资质（包括但不限于中国商报社对乙方的相关授权）。乙方对自身搜集整合的资料真实性、合法性负责，不得侵犯任何第三方的合法权益；甲方对提供给乙方的内容资料的真实性、合法性负责，不得侵犯第三方的合法权益。</w:t>
      </w:r>
    </w:p>
    <w:p w14:paraId="643F0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2、</w:t>
      </w:r>
      <w:bookmarkStart w:id="0" w:name="_Hlk50592539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乙方应按照本协议约定完成相应的宣传及其他相关文稿撰写工作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（错误率不高于3%）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。</w:t>
      </w:r>
      <w:bookmarkEnd w:id="0"/>
    </w:p>
    <w:p w14:paraId="0195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3、</w:t>
      </w:r>
      <w:bookmarkStart w:id="1" w:name="_Hlk50592589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乙方发表有关甲方的一般性宣传资料，提前2个工作日将所要发布的宣传资料提供给甲方审核确认；对甲方的活动宣传与报道，需保证时效性要求。以上宣传或报道均需经甲方审核确认后方可发表。甲方对乙方提供的宣传资料进行确认的，不代表甲方对该资料进行合法性、真实性等实质审查，若乙方提供的宣传资料侵犯任何第三方权利或违反任何法律、法规和规范性文件的，甲方对此不承担任何责任，造成甲方损失的，甲方有权向乙方追偿，乙方不得以相关资料已经过甲方审查为由免责。</w:t>
      </w:r>
      <w:bookmarkEnd w:id="1"/>
    </w:p>
    <w:p w14:paraId="67E4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4、</w:t>
      </w:r>
      <w:bookmarkStart w:id="2" w:name="_Hlk50592827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甲方有权对宣传的内容提出要求，有权监督乙方的工作，在乙方未按要求进行宣传或修改文稿内容时，有权要求乙方进行整改，乙方应当按照甲方的要求进行整改，完稿时间不顺延。</w:t>
      </w:r>
      <w:bookmarkEnd w:id="2"/>
    </w:p>
    <w:p w14:paraId="5AD05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5、甲方应积极支持配合乙方的有关工作，及时提供内容线索和相关材料，并为收集内容提供力所能及的便利。</w:t>
      </w:r>
    </w:p>
    <w:p w14:paraId="3654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6、</w:t>
      </w:r>
      <w:bookmarkStart w:id="3" w:name="_Hlk50592918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乙方或乙方员工在履行协议过程中获得的任何甲方内部数据资料，未经甲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方书面授权，不得泄露或转让给第三方</w:t>
      </w:r>
      <w:bookmarkEnd w:id="3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"/>
          <w14:textFill>
            <w14:solidFill>
              <w14:schemeClr w14:val="tx1"/>
            </w14:solidFill>
          </w14:textFill>
        </w:rPr>
        <w:t>本保密条款永久有效，不因本合同的效力而发生变化。</w:t>
      </w:r>
    </w:p>
    <w:p w14:paraId="1820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、</w:t>
      </w:r>
      <w:bookmarkStart w:id="4" w:name="_Hlk50593042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因履行本协议所产生的所有成果的知识产权等合法权益，归甲方所有；未经甲方书面同意，乙方不得擅自发表、出版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或使用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。</w:t>
      </w:r>
      <w:bookmarkEnd w:id="4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若乙方或乙方员工违反本约定，乙方应承担所有责任，并赔偿甲方因此受到的所有损失。</w:t>
      </w:r>
    </w:p>
    <w:p w14:paraId="332F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项目费用</w:t>
      </w:r>
    </w:p>
    <w:p w14:paraId="3AFD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项目合计费用：￥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（大写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"/>
          <w14:textFill>
            <w14:solidFill>
              <w14:schemeClr w14:val="tx1"/>
            </w14:solidFill>
          </w14:textFill>
        </w:rPr>
        <w:t>前述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价款已包含媒体发布版面费、税费、人工费、服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务费等本协议项下全部费用，除本协议另有约定之外，甲方无需支付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任何其它费用。</w:t>
      </w:r>
    </w:p>
    <w:p w14:paraId="0D0D2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费用详细说明表见附件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。</w:t>
      </w:r>
    </w:p>
    <w:p w14:paraId="5F89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付款方式</w:t>
      </w:r>
    </w:p>
    <w:p w14:paraId="0736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甲方于协议签署后分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次向乙方支付款项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：</w:t>
      </w:r>
    </w:p>
    <w:p w14:paraId="5EF1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bookmarkStart w:id="5" w:name="_Hlk50594074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乙方在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合同签署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个工作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日内向甲方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开具相应增值税专用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发票。甲方在收到乙方开具的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增值税专用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发票后，于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个工作日内向乙方支付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项目总金额的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0%，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（大写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）。</w:t>
      </w:r>
      <w:bookmarkEnd w:id="5"/>
    </w:p>
    <w:p w14:paraId="3158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）项目结束后，甲方验收通过10个工作日内向乙方支付合同总金额的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%，即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大写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）。</w:t>
      </w:r>
    </w:p>
    <w:p w14:paraId="3EEB5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甲方因财政拨款原因导致延迟付款的不视为甲方违约，乙方应当继续履行合同义务，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支付方式上有权选择转账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银行承兑汇票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或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商业承兑汇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票，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乙方均予以接受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。</w:t>
      </w:r>
    </w:p>
    <w:p w14:paraId="7CA9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在服务期内，如甲方对乙方提供的服务质量提出异议，乙方应无附加条件进行改善提升，保证甲方要求的服务质量，否则甲方有权根据实际情况扣减相应的服务费。</w:t>
      </w:r>
    </w:p>
    <w:p w14:paraId="1F591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乙方指定的银行账号信息如下：</w:t>
      </w:r>
    </w:p>
    <w:p w14:paraId="3D08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收款单位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  <w:t>XXXXXXXXXX</w:t>
      </w:r>
    </w:p>
    <w:p w14:paraId="5E2C7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开户行：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E83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账号：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70A2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乙方如需更换收款账户，应提前10个工作日书面通知甲方，并确保甲方已知悉乙方更换收款账户，如因乙方擅自更换收款账户，致使乙方无法收到甲方支付款项的，由此造成的一切损失，均由乙方自行承担。</w:t>
      </w:r>
    </w:p>
    <w:p w14:paraId="6EA4A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违约责任</w:t>
      </w:r>
    </w:p>
    <w:p w14:paraId="3584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bookmarkStart w:id="6" w:name="_Hlk50594934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、若乙方在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次整改后，相关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宣传资料或工作成果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仍未能达到甲方要求，甲方有权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单方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解除协议，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一切后果由乙方承担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，乙方须退回甲方已支付的款项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。</w:t>
      </w:r>
      <w:bookmarkEnd w:id="6"/>
    </w:p>
    <w:p w14:paraId="11AB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乙方存在将甲方内部数据资料对外公开、提供给第三方、或为本协议之外的目的使用等行为的，视为乙方违反保密义务，甲方有权单方解除本合同并追究乙方的违约责任。</w:t>
      </w:r>
    </w:p>
    <w:p w14:paraId="1FD6E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PMingLiU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3、乙方应按本合同约定及甲方的要求提供高效服务。稿件或其他服务有逾期的，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每逾期一日，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合同款项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的0.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%向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支付违约金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，甲方有权在未付款项中直接扣除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TW"/>
          <w14:textFill>
            <w14:solidFill>
              <w14:schemeClr w14:val="tx1"/>
            </w14:solidFill>
          </w14:textFill>
        </w:rPr>
        <w:t>。</w:t>
      </w:r>
    </w:p>
    <w:p w14:paraId="4D68B0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、如乙方在合作期间违反相关义务的（如不具备相关有效授权或资质、未按甲方要求履行协议约定义务），甲方有权要求乙方免费重作、继续履行、承担本协议总价款2</w:t>
      </w:r>
      <w:r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的违约金并赔偿甲方全部损失；且因此对第三方负有责任的，均应由乙方承担。</w:t>
      </w:r>
    </w:p>
    <w:p w14:paraId="6D9DAA1A">
      <w:pPr>
        <w:ind w:firstLine="56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5、如乙方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在合作期间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涉嫌侵害国家利益、公众利益，甲方有权单方面解除合同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u w:val="none" w:color="auto"/>
          <w:lang w:val="en-US" w:eastAsia="zh" w:bidi="ar-SA"/>
          <w14:textFill>
            <w14:solidFill>
              <w14:schemeClr w14:val="tx1"/>
            </w14:solidFill>
          </w14:textFill>
        </w:rPr>
        <w:t>，且无需向乙方支付任何赔偿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653F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bookmarkStart w:id="7" w:name="_Hlk50595764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七、争议解决</w:t>
      </w:r>
    </w:p>
    <w:p w14:paraId="1C447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本协议未尽事宜，双方友好协商解决。若遇不可抗力因素导致协议不能如期履行，双方友好协商解决。双方因履行本合同发生争议协商不成的，应向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所在地人民法院诉讼解决。</w:t>
      </w:r>
      <w:bookmarkEnd w:id="7"/>
    </w:p>
    <w:p w14:paraId="38DD1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八、</w:t>
      </w:r>
      <w:bookmarkStart w:id="8" w:name="_Hlk50595809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协议生效</w:t>
      </w:r>
      <w:bookmarkEnd w:id="8"/>
    </w:p>
    <w:p w14:paraId="3C96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bookmarkStart w:id="9" w:name="_Hlk50595905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壹式肆份，甲方执叁份，乙方执壹份，具有同等法律效力，自双方法定代表人或授权代表签名并加盖公章之日起生效。</w:t>
      </w:r>
      <w:bookmarkEnd w:id="9"/>
    </w:p>
    <w:p w14:paraId="5DF3E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</w:p>
    <w:p w14:paraId="40F18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甲方：深圳市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CN"/>
          <w14:textFill>
            <w14:solidFill>
              <w14:schemeClr w14:val="tx1"/>
            </w14:solidFill>
          </w14:textFill>
        </w:rPr>
        <w:t>龙华建设发展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eastAsia="zh-Hans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CN"/>
          <w14:textFill>
            <w14:solidFill>
              <w14:schemeClr w14:val="tx1"/>
            </w14:solidFill>
          </w14:textFill>
        </w:rPr>
        <w:t xml:space="preserve">有限公司  </w:t>
      </w:r>
      <w:r>
        <w:rPr>
          <w:rFonts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w w:val="95"/>
          <w:sz w:val="24"/>
          <w:szCs w:val="24"/>
          <w:highlight w:val="none"/>
          <w:u w:val="none" w:color="auto"/>
          <w:lang w:val="zh-TW" w:eastAsia="zh-CN"/>
          <w14:textFill>
            <w14:solidFill>
              <w14:schemeClr w14:val="tx1"/>
            </w14:solidFill>
          </w14:textFill>
        </w:rPr>
        <w:t>XXXXXXXXXX</w:t>
      </w:r>
    </w:p>
    <w:p w14:paraId="4EC4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" w:hAnsi="仿宋" w:eastAsia="仿宋" w:cs="仿宋"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代表人：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代表人：</w:t>
      </w:r>
    </w:p>
    <w:p w14:paraId="176F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" w:hAnsi="仿宋" w:eastAsia="仿宋" w:cs="仿宋"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 w:eastAsia="zh-TW"/>
          <w14:textFill>
            <w14:solidFill>
              <w14:schemeClr w14:val="tx1"/>
            </w14:solidFill>
          </w14:textFill>
        </w:rPr>
        <w:t>（盖章）</w:t>
      </w:r>
    </w:p>
    <w:p w14:paraId="1DBA6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 xml:space="preserve">年     月      日             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t>年     月    日</w:t>
      </w:r>
    </w:p>
    <w:p w14:paraId="02F60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</w:p>
    <w:p w14:paraId="15603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</w:p>
    <w:p w14:paraId="57C01B43">
      <w:pP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br w:type="page"/>
      </w:r>
    </w:p>
    <w:p w14:paraId="0BF5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u w:val="none" w:color="auto"/>
          <w:lang w:val="zh-TW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3264F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费用清单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69"/>
        <w:gridCol w:w="6472"/>
        <w:gridCol w:w="618"/>
        <w:gridCol w:w="618"/>
        <w:gridCol w:w="1149"/>
        <w:gridCol w:w="1156"/>
        <w:gridCol w:w="2068"/>
      </w:tblGrid>
      <w:tr w14:paraId="2EB3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8" w:type="pct"/>
            <w:vMerge w:val="restart"/>
            <w:shd w:val="clear" w:color="auto" w:fill="FFFFFF"/>
            <w:noWrap/>
            <w:vAlign w:val="center"/>
          </w:tcPr>
          <w:p w14:paraId="14BA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" w:type="pct"/>
            <w:vMerge w:val="restart"/>
            <w:shd w:val="clear" w:color="auto" w:fill="FFFFFF"/>
            <w:vAlign w:val="center"/>
          </w:tcPr>
          <w:p w14:paraId="6BD3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服务项目</w:t>
            </w:r>
          </w:p>
        </w:tc>
        <w:tc>
          <w:tcPr>
            <w:tcW w:w="2306" w:type="pct"/>
            <w:vMerge w:val="restart"/>
            <w:shd w:val="clear" w:color="auto" w:fill="FFFFFF"/>
            <w:vAlign w:val="center"/>
          </w:tcPr>
          <w:p w14:paraId="5BF0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项目详</w:t>
            </w:r>
            <w:bookmarkStart w:id="10" w:name="_GoBack"/>
            <w:bookmarkEnd w:id="1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情</w:t>
            </w:r>
          </w:p>
        </w:tc>
        <w:tc>
          <w:tcPr>
            <w:tcW w:w="188" w:type="pct"/>
            <w:vMerge w:val="restart"/>
            <w:shd w:val="clear" w:color="auto" w:fill="FFFFFF"/>
            <w:noWrap/>
            <w:vAlign w:val="center"/>
          </w:tcPr>
          <w:p w14:paraId="62D5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4" w:type="pct"/>
            <w:vMerge w:val="restart"/>
            <w:shd w:val="clear" w:color="auto" w:fill="FFFFFF"/>
            <w:noWrap/>
            <w:vAlign w:val="center"/>
          </w:tcPr>
          <w:p w14:paraId="13EA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8" w:type="pct"/>
            <w:gridSpan w:val="2"/>
            <w:shd w:val="clear" w:color="auto" w:fill="FFFFFF"/>
            <w:noWrap/>
            <w:vAlign w:val="center"/>
          </w:tcPr>
          <w:p w14:paraId="0E0E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752" w:type="pct"/>
            <w:vMerge w:val="restart"/>
            <w:shd w:val="clear" w:color="auto" w:fill="FFFFFF"/>
            <w:noWrap/>
            <w:vAlign w:val="center"/>
          </w:tcPr>
          <w:p w14:paraId="36E3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EEC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011F64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FFFFFF"/>
            <w:vAlign w:val="center"/>
          </w:tcPr>
          <w:p w14:paraId="222282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6" w:type="pct"/>
            <w:vMerge w:val="continue"/>
            <w:shd w:val="clear" w:color="auto" w:fill="FFFFFF"/>
            <w:vAlign w:val="center"/>
          </w:tcPr>
          <w:p w14:paraId="4EEC37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6517AB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" w:type="pct"/>
            <w:vMerge w:val="continue"/>
            <w:shd w:val="clear" w:color="auto" w:fill="FFFFFF"/>
            <w:noWrap/>
            <w:vAlign w:val="center"/>
          </w:tcPr>
          <w:p w14:paraId="13AE50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8" w:type="pct"/>
            <w:shd w:val="clear" w:color="auto" w:fill="FFFFFF"/>
            <w:noWrap/>
            <w:vAlign w:val="center"/>
          </w:tcPr>
          <w:p w14:paraId="7939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14:paraId="0052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752" w:type="pct"/>
            <w:vMerge w:val="continue"/>
            <w:shd w:val="clear" w:color="auto" w:fill="FFFFFF"/>
            <w:noWrap/>
            <w:vAlign w:val="center"/>
          </w:tcPr>
          <w:p w14:paraId="6D9291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B46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8" w:type="pct"/>
            <w:vMerge w:val="restart"/>
            <w:shd w:val="clear" w:color="auto" w:fill="FFFFFF"/>
            <w:noWrap/>
            <w:vAlign w:val="center"/>
          </w:tcPr>
          <w:p w14:paraId="1FB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" w:type="pct"/>
            <w:vMerge w:val="restart"/>
            <w:shd w:val="clear" w:color="auto" w:fill="FFFFFF"/>
            <w:vAlign w:val="center"/>
          </w:tcPr>
          <w:p w14:paraId="2550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媒体服务</w:t>
            </w:r>
          </w:p>
        </w:tc>
        <w:tc>
          <w:tcPr>
            <w:tcW w:w="2306" w:type="pct"/>
            <w:shd w:val="clear" w:color="auto" w:fill="FFFFFF"/>
            <w:vAlign w:val="center"/>
          </w:tcPr>
          <w:p w14:paraId="0C51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在人民网、光明网等中央级媒体官方平台发布重要公司宣传资讯，每年度不少于4条</w:t>
            </w:r>
          </w:p>
        </w:tc>
        <w:tc>
          <w:tcPr>
            <w:tcW w:w="188" w:type="pct"/>
            <w:shd w:val="clear" w:color="auto" w:fill="FFFFFF"/>
            <w:noWrap/>
            <w:vAlign w:val="center"/>
          </w:tcPr>
          <w:p w14:paraId="45F1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" w:type="pct"/>
            <w:shd w:val="clear" w:color="auto" w:fill="FFFFFF"/>
            <w:noWrap/>
            <w:vAlign w:val="center"/>
          </w:tcPr>
          <w:p w14:paraId="001F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28" w:type="pct"/>
            <w:shd w:val="clear" w:color="auto" w:fill="FFFFFF"/>
            <w:noWrap/>
            <w:vAlign w:val="center"/>
          </w:tcPr>
          <w:p w14:paraId="4D474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shd w:val="clear" w:color="auto" w:fill="FFFFFF"/>
            <w:noWrap/>
            <w:vAlign w:val="center"/>
          </w:tcPr>
          <w:p w14:paraId="150E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52" w:type="pct"/>
            <w:shd w:val="clear" w:color="auto" w:fill="FFFFFF"/>
            <w:noWrap/>
            <w:vAlign w:val="center"/>
          </w:tcPr>
          <w:p w14:paraId="003C0A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466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1B466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FFFFFF"/>
            <w:vAlign w:val="center"/>
          </w:tcPr>
          <w:p w14:paraId="4759F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6" w:type="pct"/>
            <w:shd w:val="clear" w:color="auto" w:fill="FFFFFF"/>
            <w:vAlign w:val="center"/>
          </w:tcPr>
          <w:p w14:paraId="32BE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在中国商报网、深圳特区报、今日头条、一点资讯、新浪微博、腾讯新闻、搜狐新闻、百家号、网易新闻、龙华融媒等媒体平台发布宣传资讯，每年度不少于50条</w:t>
            </w:r>
          </w:p>
        </w:tc>
        <w:tc>
          <w:tcPr>
            <w:tcW w:w="188" w:type="pct"/>
            <w:shd w:val="clear" w:color="auto" w:fill="FFFFFF"/>
            <w:noWrap/>
            <w:vAlign w:val="center"/>
          </w:tcPr>
          <w:p w14:paraId="6CAC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4" w:type="pct"/>
            <w:shd w:val="clear" w:color="auto" w:fill="FFFFFF"/>
            <w:noWrap/>
            <w:vAlign w:val="center"/>
          </w:tcPr>
          <w:p w14:paraId="681A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28" w:type="pct"/>
            <w:shd w:val="clear" w:color="auto" w:fill="FFFFFF"/>
            <w:noWrap/>
            <w:vAlign w:val="center"/>
          </w:tcPr>
          <w:p w14:paraId="744D2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shd w:val="clear" w:color="auto" w:fill="FFFFFF"/>
            <w:noWrap/>
            <w:vAlign w:val="center"/>
          </w:tcPr>
          <w:p w14:paraId="4AEA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52" w:type="pct"/>
            <w:shd w:val="clear" w:color="auto" w:fill="FFFFFF"/>
            <w:noWrap/>
            <w:vAlign w:val="center"/>
          </w:tcPr>
          <w:p w14:paraId="6C2186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CBA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8" w:type="pct"/>
            <w:vMerge w:val="restart"/>
            <w:shd w:val="clear" w:color="auto" w:fill="FFFFFF"/>
            <w:noWrap/>
            <w:vAlign w:val="center"/>
          </w:tcPr>
          <w:p w14:paraId="51F4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" w:type="pct"/>
            <w:vMerge w:val="restart"/>
            <w:shd w:val="clear" w:color="auto" w:fill="FFFFFF"/>
            <w:vAlign w:val="center"/>
          </w:tcPr>
          <w:p w14:paraId="7D80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专人专项服务</w:t>
            </w:r>
          </w:p>
        </w:tc>
        <w:tc>
          <w:tcPr>
            <w:tcW w:w="2306" w:type="pct"/>
            <w:shd w:val="clear" w:color="auto" w:fill="FFFFFF"/>
            <w:vAlign w:val="center"/>
          </w:tcPr>
          <w:p w14:paraId="2D2E9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建立专业运营团队：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8"/>
                <w:szCs w:val="28"/>
                <w:u w:color="000000"/>
                <w:bdr w:val="none" w:color="auto" w:sz="0" w:space="0"/>
                <w:lang w:val="en-US" w:eastAsia="zh-CN" w:bidi="ar"/>
              </w:rPr>
              <w:t>团队不少于3人，均为专业在职人员，其中1名专职人员驻点服务。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其中，主要负责人要求硕士以上学历，文学类专业、相关工作经验10年以上者优先。</w:t>
            </w:r>
          </w:p>
        </w:tc>
        <w:tc>
          <w:tcPr>
            <w:tcW w:w="188" w:type="pct"/>
            <w:vMerge w:val="restart"/>
            <w:shd w:val="clear" w:color="auto" w:fill="FFFFFF"/>
            <w:noWrap/>
            <w:vAlign w:val="center"/>
          </w:tcPr>
          <w:p w14:paraId="052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" w:type="pct"/>
            <w:vMerge w:val="restart"/>
            <w:shd w:val="clear" w:color="auto" w:fill="FFFFFF"/>
            <w:noWrap/>
            <w:vAlign w:val="center"/>
          </w:tcPr>
          <w:p w14:paraId="022B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428" w:type="pct"/>
            <w:vMerge w:val="restart"/>
            <w:shd w:val="clear" w:color="auto" w:fill="FFFFFF"/>
            <w:noWrap/>
            <w:vAlign w:val="center"/>
          </w:tcPr>
          <w:p w14:paraId="17A56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vMerge w:val="restart"/>
            <w:shd w:val="clear" w:color="auto" w:fill="FFFFFF"/>
            <w:noWrap/>
            <w:vAlign w:val="center"/>
          </w:tcPr>
          <w:p w14:paraId="307C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52" w:type="pct"/>
            <w:vMerge w:val="restart"/>
            <w:shd w:val="clear" w:color="auto" w:fill="FFFFFF"/>
            <w:vAlign w:val="center"/>
          </w:tcPr>
          <w:p w14:paraId="5E9DE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1.公众号、集团官网日常运营稿件约300篇；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2.素材拍摄制作整理约200条；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3.需要提供135、秀米、剪映、千图网、摄图网等网站会员资源。</w:t>
            </w:r>
          </w:p>
        </w:tc>
      </w:tr>
      <w:tr w14:paraId="7D5A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7F36BE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FFFFFF"/>
            <w:vAlign w:val="center"/>
          </w:tcPr>
          <w:p w14:paraId="11E1F9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6" w:type="pct"/>
            <w:shd w:val="clear" w:color="auto" w:fill="FFFFFF"/>
            <w:vAlign w:val="center"/>
          </w:tcPr>
          <w:p w14:paraId="08D6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公众号、集团官网日常运营：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8"/>
                <w:szCs w:val="28"/>
                <w:u w:color="000000"/>
                <w:bdr w:val="none" w:color="auto" w:sz="0" w:space="0"/>
                <w:lang w:val="en-US" w:eastAsia="zh-CN" w:bidi="ar"/>
              </w:rPr>
              <w:t>稿件的排版设计；日常稿件撰写、校核、美编；在重大新闻节点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品牌视觉设计及稿件支持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8"/>
                <w:szCs w:val="28"/>
                <w:u w:color="000000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0F18AD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" w:type="pct"/>
            <w:vMerge w:val="continue"/>
            <w:shd w:val="clear" w:color="auto" w:fill="FFFFFF"/>
            <w:noWrap/>
            <w:vAlign w:val="center"/>
          </w:tcPr>
          <w:p w14:paraId="1C81F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8" w:type="pct"/>
            <w:vMerge w:val="continue"/>
            <w:shd w:val="clear" w:color="auto" w:fill="FFFFFF"/>
            <w:noWrap/>
            <w:vAlign w:val="center"/>
          </w:tcPr>
          <w:p w14:paraId="1A2247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vMerge w:val="continue"/>
            <w:shd w:val="clear" w:color="auto" w:fill="FFFFFF"/>
            <w:noWrap/>
            <w:vAlign w:val="center"/>
          </w:tcPr>
          <w:p w14:paraId="5F0C4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vMerge w:val="continue"/>
            <w:shd w:val="clear" w:color="auto" w:fill="FFFFFF"/>
            <w:vAlign w:val="center"/>
          </w:tcPr>
          <w:p w14:paraId="0AF080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374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5B530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FFFFFF"/>
            <w:vAlign w:val="center"/>
          </w:tcPr>
          <w:p w14:paraId="4E0EC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6" w:type="pct"/>
            <w:shd w:val="clear" w:color="auto" w:fill="FFFFFF"/>
            <w:vAlign w:val="center"/>
          </w:tcPr>
          <w:p w14:paraId="3100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素材拍摄制作整理：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8"/>
                <w:szCs w:val="28"/>
                <w:u w:color="000000"/>
                <w:bdr w:val="none" w:color="auto" w:sz="0" w:space="0"/>
                <w:lang w:val="en-US" w:eastAsia="zh-CN" w:bidi="ar"/>
              </w:rPr>
              <w:t>整理和搜集集团及下属企业文字图片素材；对图片素材进行后期处理并整理建档</w:t>
            </w:r>
          </w:p>
        </w:tc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7C35F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" w:type="pct"/>
            <w:vMerge w:val="continue"/>
            <w:shd w:val="clear" w:color="auto" w:fill="FFFFFF"/>
            <w:noWrap/>
            <w:vAlign w:val="center"/>
          </w:tcPr>
          <w:p w14:paraId="1E594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8" w:type="pct"/>
            <w:vMerge w:val="continue"/>
            <w:shd w:val="clear" w:color="auto" w:fill="FFFFFF"/>
            <w:noWrap/>
            <w:vAlign w:val="center"/>
          </w:tcPr>
          <w:p w14:paraId="29E36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vMerge w:val="continue"/>
            <w:shd w:val="clear" w:color="auto" w:fill="FFFFFF"/>
            <w:noWrap/>
            <w:vAlign w:val="center"/>
          </w:tcPr>
          <w:p w14:paraId="425E39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vMerge w:val="continue"/>
            <w:shd w:val="clear" w:color="auto" w:fill="FFFFFF"/>
            <w:vAlign w:val="center"/>
          </w:tcPr>
          <w:p w14:paraId="07F655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501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0324D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FFFFFF"/>
            <w:vAlign w:val="center"/>
          </w:tcPr>
          <w:p w14:paraId="25916C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6" w:type="pct"/>
            <w:shd w:val="clear" w:color="auto" w:fill="FFFFFF"/>
            <w:vAlign w:val="center"/>
          </w:tcPr>
          <w:p w14:paraId="6A85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外宣媒体图片：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8"/>
                <w:szCs w:val="28"/>
                <w:u w:color="000000"/>
                <w:bdr w:val="none" w:color="auto" w:sz="0" w:space="0"/>
                <w:lang w:val="en-US" w:eastAsia="zh-CN" w:bidi="ar"/>
              </w:rPr>
              <w:t>新媒体业务的专属内容、去广告、高清画质、会员特权、个性化定制与网宣服务</w:t>
            </w:r>
          </w:p>
        </w:tc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34FE7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" w:type="pct"/>
            <w:vMerge w:val="continue"/>
            <w:shd w:val="clear" w:color="auto" w:fill="FFFFFF"/>
            <w:noWrap/>
            <w:vAlign w:val="center"/>
          </w:tcPr>
          <w:p w14:paraId="6FF64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8" w:type="pct"/>
            <w:vMerge w:val="continue"/>
            <w:shd w:val="clear" w:color="auto" w:fill="FFFFFF"/>
            <w:noWrap/>
            <w:vAlign w:val="center"/>
          </w:tcPr>
          <w:p w14:paraId="3F8AB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vMerge w:val="continue"/>
            <w:shd w:val="clear" w:color="auto" w:fill="FFFFFF"/>
            <w:noWrap/>
            <w:vAlign w:val="center"/>
          </w:tcPr>
          <w:p w14:paraId="01C082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vMerge w:val="continue"/>
            <w:shd w:val="clear" w:color="auto" w:fill="FFFFFF"/>
            <w:vAlign w:val="center"/>
          </w:tcPr>
          <w:p w14:paraId="54D950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93E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3A2BB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pct"/>
            <w:vMerge w:val="continue"/>
            <w:shd w:val="clear" w:color="auto" w:fill="FFFFFF"/>
            <w:vAlign w:val="center"/>
          </w:tcPr>
          <w:p w14:paraId="63A18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6" w:type="pct"/>
            <w:shd w:val="clear" w:color="auto" w:fill="FFFFFF"/>
            <w:vAlign w:val="center"/>
          </w:tcPr>
          <w:p w14:paraId="43F3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活动聚焦：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8"/>
                <w:szCs w:val="28"/>
                <w:u w:color="000000"/>
                <w:bdr w:val="none" w:color="auto" w:sz="0" w:space="0"/>
                <w:lang w:val="en-US" w:eastAsia="zh-CN" w:bidi="ar"/>
              </w:rPr>
              <w:t>配合完成集团主办或参与的重要活动，进行宣传展板、PPT、海报等外宣形象图文设计；根据需要安排媒体记者现场宣传报道</w:t>
            </w:r>
          </w:p>
        </w:tc>
        <w:tc>
          <w:tcPr>
            <w:tcW w:w="188" w:type="pct"/>
            <w:vMerge w:val="continue"/>
            <w:shd w:val="clear" w:color="auto" w:fill="FFFFFF"/>
            <w:noWrap/>
            <w:vAlign w:val="center"/>
          </w:tcPr>
          <w:p w14:paraId="4B701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" w:type="pct"/>
            <w:vMerge w:val="continue"/>
            <w:shd w:val="clear" w:color="auto" w:fill="FFFFFF"/>
            <w:noWrap/>
            <w:vAlign w:val="center"/>
          </w:tcPr>
          <w:p w14:paraId="3AD23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28" w:type="pct"/>
            <w:vMerge w:val="continue"/>
            <w:shd w:val="clear" w:color="auto" w:fill="FFFFFF"/>
            <w:noWrap/>
            <w:vAlign w:val="center"/>
          </w:tcPr>
          <w:p w14:paraId="13E46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vMerge w:val="continue"/>
            <w:shd w:val="clear" w:color="auto" w:fill="FFFFFF"/>
            <w:noWrap/>
            <w:vAlign w:val="center"/>
          </w:tcPr>
          <w:p w14:paraId="1D1C6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vMerge w:val="continue"/>
            <w:shd w:val="clear" w:color="auto" w:fill="FFFFFF"/>
            <w:vAlign w:val="center"/>
          </w:tcPr>
          <w:p w14:paraId="0CE5EC2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ED0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8" w:type="pct"/>
            <w:shd w:val="clear" w:color="auto" w:fill="FFFFFF"/>
            <w:noWrap/>
            <w:vAlign w:val="center"/>
          </w:tcPr>
          <w:p w14:paraId="2B63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2BF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舆情监控</w:t>
            </w:r>
          </w:p>
        </w:tc>
        <w:tc>
          <w:tcPr>
            <w:tcW w:w="2306" w:type="pct"/>
            <w:shd w:val="clear" w:color="auto" w:fill="FFFFFF"/>
            <w:vAlign w:val="center"/>
          </w:tcPr>
          <w:p w14:paraId="7E52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每月舆情监测及分析摘要。如遇舆情危机，协助制定应对方案并配合实施。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DA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24C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428" w:type="pct"/>
            <w:shd w:val="clear" w:color="auto" w:fill="FFFFFF"/>
            <w:noWrap/>
            <w:vAlign w:val="center"/>
          </w:tcPr>
          <w:p w14:paraId="5CD1C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shd w:val="clear" w:color="auto" w:fill="FFFFFF"/>
            <w:noWrap/>
            <w:vAlign w:val="center"/>
          </w:tcPr>
          <w:p w14:paraId="606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52" w:type="pct"/>
            <w:shd w:val="clear" w:color="auto" w:fill="FFFFFF"/>
            <w:noWrap/>
            <w:vAlign w:val="center"/>
          </w:tcPr>
          <w:p w14:paraId="6EE2C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3E0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8" w:type="pct"/>
            <w:shd w:val="clear" w:color="auto" w:fill="FFFFFF"/>
            <w:noWrap/>
            <w:vAlign w:val="center"/>
          </w:tcPr>
          <w:p w14:paraId="3C9B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ADF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活动策划</w:t>
            </w:r>
          </w:p>
        </w:tc>
        <w:tc>
          <w:tcPr>
            <w:tcW w:w="2306" w:type="pct"/>
            <w:shd w:val="clear" w:color="auto" w:fill="FFFFFF"/>
            <w:vAlign w:val="center"/>
          </w:tcPr>
          <w:p w14:paraId="20E31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根据集团需求，策划并统筹执行主题宣传活动每年1次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18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2DB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8" w:type="pct"/>
            <w:shd w:val="clear" w:color="auto" w:fill="FFFFFF"/>
            <w:noWrap/>
            <w:vAlign w:val="center"/>
          </w:tcPr>
          <w:p w14:paraId="7D95D9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shd w:val="clear" w:color="auto" w:fill="FFFFFF"/>
            <w:noWrap/>
            <w:vAlign w:val="center"/>
          </w:tcPr>
          <w:p w14:paraId="2447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52" w:type="pct"/>
            <w:shd w:val="clear" w:color="auto" w:fill="FFFFFF"/>
            <w:noWrap/>
            <w:vAlign w:val="center"/>
          </w:tcPr>
          <w:p w14:paraId="206C3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330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389" w:type="pct"/>
            <w:gridSpan w:val="5"/>
            <w:shd w:val="clear" w:color="auto" w:fill="FFFFFF"/>
            <w:noWrap/>
            <w:vAlign w:val="center"/>
          </w:tcPr>
          <w:p w14:paraId="5589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28" w:type="pct"/>
            <w:shd w:val="clear" w:color="auto" w:fill="FFFFFF"/>
            <w:noWrap/>
            <w:vAlign w:val="center"/>
          </w:tcPr>
          <w:p w14:paraId="66417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0" w:type="pct"/>
            <w:shd w:val="clear" w:color="auto" w:fill="FFFFFF"/>
            <w:noWrap/>
            <w:vAlign w:val="center"/>
          </w:tcPr>
          <w:p w14:paraId="4A2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 w:color="000000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52" w:type="pct"/>
            <w:shd w:val="clear" w:color="auto" w:fill="FFFFFF"/>
            <w:noWrap/>
            <w:vAlign w:val="center"/>
          </w:tcPr>
          <w:p w14:paraId="481F73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5C8C418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DDE20"/>
    <w:multiLevelType w:val="singleLevel"/>
    <w:tmpl w:val="628DDE2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jUzZDIwOGU2ZjNlNjg4NjI3ZTkxZTNkNTljYjMifQ=="/>
  </w:docVars>
  <w:rsids>
    <w:rsidRoot w:val="A3FE5ED3"/>
    <w:rsid w:val="000768B1"/>
    <w:rsid w:val="000A44A7"/>
    <w:rsid w:val="000E2363"/>
    <w:rsid w:val="00113340"/>
    <w:rsid w:val="0019683B"/>
    <w:rsid w:val="002725B0"/>
    <w:rsid w:val="00303A22"/>
    <w:rsid w:val="005A5A7B"/>
    <w:rsid w:val="005A6FF3"/>
    <w:rsid w:val="005C5186"/>
    <w:rsid w:val="005C6E2A"/>
    <w:rsid w:val="0061297A"/>
    <w:rsid w:val="006719B1"/>
    <w:rsid w:val="006A48FC"/>
    <w:rsid w:val="00724556"/>
    <w:rsid w:val="00736DAC"/>
    <w:rsid w:val="007A56F7"/>
    <w:rsid w:val="007A5C6C"/>
    <w:rsid w:val="00827C81"/>
    <w:rsid w:val="0089580B"/>
    <w:rsid w:val="008F16B8"/>
    <w:rsid w:val="0091711F"/>
    <w:rsid w:val="00BD21EB"/>
    <w:rsid w:val="00BE2C86"/>
    <w:rsid w:val="00C72EBE"/>
    <w:rsid w:val="00CC2184"/>
    <w:rsid w:val="00E570E1"/>
    <w:rsid w:val="00F10B93"/>
    <w:rsid w:val="00FD473B"/>
    <w:rsid w:val="051F60C3"/>
    <w:rsid w:val="09281538"/>
    <w:rsid w:val="0BD37040"/>
    <w:rsid w:val="0DB367C9"/>
    <w:rsid w:val="17C262E4"/>
    <w:rsid w:val="18531C3D"/>
    <w:rsid w:val="19551E7D"/>
    <w:rsid w:val="1BEE6F3A"/>
    <w:rsid w:val="1DAF9924"/>
    <w:rsid w:val="215F8214"/>
    <w:rsid w:val="21A61315"/>
    <w:rsid w:val="27675EFC"/>
    <w:rsid w:val="284E4066"/>
    <w:rsid w:val="2C7D1D43"/>
    <w:rsid w:val="2E08192F"/>
    <w:rsid w:val="2FE999F3"/>
    <w:rsid w:val="2FF53504"/>
    <w:rsid w:val="36BFC370"/>
    <w:rsid w:val="37DE5EBE"/>
    <w:rsid w:val="3BB4298B"/>
    <w:rsid w:val="3BD70B5D"/>
    <w:rsid w:val="3D1FE5A7"/>
    <w:rsid w:val="3D44378D"/>
    <w:rsid w:val="3F88B2A0"/>
    <w:rsid w:val="3F8FD948"/>
    <w:rsid w:val="3F9B39AB"/>
    <w:rsid w:val="3FBFBDAB"/>
    <w:rsid w:val="3FFF239B"/>
    <w:rsid w:val="4E5A5FDE"/>
    <w:rsid w:val="4F6FD47D"/>
    <w:rsid w:val="551F52F8"/>
    <w:rsid w:val="57FD0C82"/>
    <w:rsid w:val="58F9DDA0"/>
    <w:rsid w:val="5D3B0A8E"/>
    <w:rsid w:val="5DB12FED"/>
    <w:rsid w:val="5EEF99B0"/>
    <w:rsid w:val="5EFF87B4"/>
    <w:rsid w:val="60612973"/>
    <w:rsid w:val="60624993"/>
    <w:rsid w:val="61746C75"/>
    <w:rsid w:val="617A5B0D"/>
    <w:rsid w:val="66D9DEBF"/>
    <w:rsid w:val="67F69E14"/>
    <w:rsid w:val="6CFF86BF"/>
    <w:rsid w:val="6D6F9FF8"/>
    <w:rsid w:val="6EF962A5"/>
    <w:rsid w:val="6FAF8A37"/>
    <w:rsid w:val="6FEF6B06"/>
    <w:rsid w:val="6FFB1B02"/>
    <w:rsid w:val="70192BE0"/>
    <w:rsid w:val="70B578DE"/>
    <w:rsid w:val="75BDBA75"/>
    <w:rsid w:val="75D9494E"/>
    <w:rsid w:val="77F603A6"/>
    <w:rsid w:val="79DF7457"/>
    <w:rsid w:val="79FCC78E"/>
    <w:rsid w:val="7BBA8A6D"/>
    <w:rsid w:val="7CF9C82E"/>
    <w:rsid w:val="7E5EDDF2"/>
    <w:rsid w:val="7E8F9B18"/>
    <w:rsid w:val="7E96561C"/>
    <w:rsid w:val="7EFB88B5"/>
    <w:rsid w:val="7F5D181B"/>
    <w:rsid w:val="7F7BD722"/>
    <w:rsid w:val="7FB7E253"/>
    <w:rsid w:val="7FEA5B8F"/>
    <w:rsid w:val="875F3A68"/>
    <w:rsid w:val="9BEFE1B6"/>
    <w:rsid w:val="A3FE5ED3"/>
    <w:rsid w:val="ADFF0C9F"/>
    <w:rsid w:val="AEAF67B5"/>
    <w:rsid w:val="B5BDB406"/>
    <w:rsid w:val="B6EDCBA8"/>
    <w:rsid w:val="B7F4A8A3"/>
    <w:rsid w:val="B7FFC650"/>
    <w:rsid w:val="B9FD2C49"/>
    <w:rsid w:val="BBBFF1D9"/>
    <w:rsid w:val="BD9B1BAF"/>
    <w:rsid w:val="BDFF2AD3"/>
    <w:rsid w:val="BFBF396B"/>
    <w:rsid w:val="BFF79EB5"/>
    <w:rsid w:val="BFFE21B7"/>
    <w:rsid w:val="DB7F56B2"/>
    <w:rsid w:val="DBDB3461"/>
    <w:rsid w:val="DBFFEC67"/>
    <w:rsid w:val="DDF70959"/>
    <w:rsid w:val="DF6A468F"/>
    <w:rsid w:val="E5FFF338"/>
    <w:rsid w:val="E77F37EA"/>
    <w:rsid w:val="EFCF701D"/>
    <w:rsid w:val="F2F7162D"/>
    <w:rsid w:val="F5FFF05F"/>
    <w:rsid w:val="F6ABEA01"/>
    <w:rsid w:val="F7BF76F4"/>
    <w:rsid w:val="FB7348D2"/>
    <w:rsid w:val="FBDB7CE1"/>
    <w:rsid w:val="FBFF650E"/>
    <w:rsid w:val="FD570C71"/>
    <w:rsid w:val="FD6749B0"/>
    <w:rsid w:val="FE6F36F0"/>
    <w:rsid w:val="FF3E0CC1"/>
    <w:rsid w:val="FF9F5376"/>
    <w:rsid w:val="FFAD8B89"/>
    <w:rsid w:val="FFE56DDD"/>
    <w:rsid w:val="FFF710B3"/>
    <w:rsid w:val="FF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1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Calibri"/>
      <w:color w:val="000000"/>
      <w:kern w:val="2"/>
      <w:sz w:val="18"/>
      <w:szCs w:val="18"/>
      <w:u w:color="000000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Calibri"/>
      <w:color w:val="000000"/>
      <w:kern w:val="2"/>
      <w:sz w:val="18"/>
      <w:szCs w:val="18"/>
      <w:u w:color="000000"/>
    </w:rPr>
  </w:style>
  <w:style w:type="paragraph" w:customStyle="1" w:styleId="13">
    <w:name w:val="Revision"/>
    <w:hidden/>
    <w:unhideWhenUsed/>
    <w:qFormat/>
    <w:uiPriority w:val="99"/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9"/>
    <w:link w:val="2"/>
    <w:qFormat/>
    <w:uiPriority w:val="0"/>
    <w:rPr>
      <w:rFonts w:ascii="Calibri" w:hAnsi="Calibri" w:eastAsia="宋体" w:cs="Calibri"/>
      <w:color w:val="000000"/>
      <w:kern w:val="2"/>
      <w:sz w:val="21"/>
      <w:szCs w:val="21"/>
      <w:u w:color="000000"/>
    </w:rPr>
  </w:style>
  <w:style w:type="character" w:customStyle="1" w:styleId="15">
    <w:name w:val="批注主题 字符"/>
    <w:basedOn w:val="14"/>
    <w:link w:val="6"/>
    <w:qFormat/>
    <w:uiPriority w:val="0"/>
    <w:rPr>
      <w:rFonts w:ascii="Calibri" w:hAnsi="Calibri" w:eastAsia="宋体" w:cs="Calibri"/>
      <w:b/>
      <w:bCs/>
      <w:color w:val="000000"/>
      <w:kern w:val="2"/>
      <w:sz w:val="21"/>
      <w:szCs w:val="21"/>
      <w:u w:color="000000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5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3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12</Pages>
  <Words>3345</Words>
  <Characters>3464</Characters>
  <Lines>30</Lines>
  <Paragraphs>8</Paragraphs>
  <TotalTime>16</TotalTime>
  <ScaleCrop>false</ScaleCrop>
  <LinksUpToDate>false</LinksUpToDate>
  <CharactersWithSpaces>3879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2023-08-16T00:46:00Z</dcterms:created>
  <dc:creator>xushanshan</dc:creator>
  <cp:lastModifiedBy>高工</cp:lastModifiedBy>
  <cp:lastPrinted>2024-08-24T02:58:00Z</cp:lastPrinted>
  <dcterms:modified xsi:type="dcterms:W3CDTF">2025-09-10T03:03:36Z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5CF559D3BE67A8BB482AB0663AFB03C5_43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