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76CC">
      <w:pPr>
        <w:pStyle w:val="5"/>
        <w:keepLines w:val="0"/>
        <w:widowControl w:val="0"/>
        <w:rPr>
          <w:rFonts w:ascii="宋体" w:hAnsi="宋体" w:cs="宋体"/>
        </w:rPr>
      </w:pPr>
      <w:r>
        <w:rPr>
          <w:rFonts w:hint="eastAsia" w:ascii="方正小标宋简体" w:hAnsi="方正小标宋简体" w:eastAsia="方正小标宋简体" w:cs="方正小标宋简体"/>
          <w:b w:val="0"/>
          <w:color w:val="auto"/>
          <w:kern w:val="2"/>
          <w:sz w:val="44"/>
          <w:szCs w:val="44"/>
        </w:rPr>
        <w:t>购销合同</w:t>
      </w:r>
    </w:p>
    <w:p w14:paraId="74ED5DB8">
      <w:pPr>
        <w:widowControl w:val="0"/>
        <w:adjustRightInd w:val="0"/>
        <w:snapToGrid w:val="0"/>
        <w:ind w:firstLine="640"/>
        <w:jc w:val="right"/>
        <w:rPr>
          <w:rFonts w:ascii="仿宋_GB2312" w:hAnsi="仿宋_GB2312" w:cs="仿宋_GB2312"/>
          <w:sz w:val="32"/>
          <w:szCs w:val="32"/>
        </w:rPr>
      </w:pPr>
      <w:r>
        <w:rPr>
          <w:rFonts w:hint="eastAsia" w:ascii="仿宋_GB2312" w:hAnsi="仿宋_GB2312" w:cs="仿宋_GB2312"/>
          <w:sz w:val="32"/>
          <w:szCs w:val="32"/>
        </w:rPr>
        <w:t>合同编号：</w:t>
      </w:r>
    </w:p>
    <w:p w14:paraId="0B452478">
      <w:pPr>
        <w:widowControl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甲方（买方）</w:t>
      </w:r>
      <w:r>
        <w:rPr>
          <w:rFonts w:hint="eastAsia" w:ascii="仿宋_GB2312" w:hAnsi="仿宋_GB2312" w:cs="仿宋_GB2312"/>
          <w:sz w:val="32"/>
          <w:szCs w:val="32"/>
          <w:shd w:val="clear" w:color="auto" w:fill="FFFFFF"/>
        </w:rPr>
        <w:t>： 深圳市龙</w:t>
      </w:r>
      <w:r>
        <w:rPr>
          <w:rFonts w:hint="eastAsia" w:ascii="仿宋_GB2312" w:hAnsi="仿宋_GB2312" w:cs="仿宋_GB2312"/>
          <w:sz w:val="32"/>
          <w:szCs w:val="32"/>
          <w:shd w:val="clear" w:color="auto" w:fill="FFFFFF"/>
          <w:lang w:val="en-US" w:eastAsia="zh-CN"/>
        </w:rPr>
        <w:t>祺商业运营管理有限公司美憬阁酒店分公司</w:t>
      </w:r>
      <w:r>
        <w:rPr>
          <w:rFonts w:hint="eastAsia" w:ascii="仿宋_GB2312" w:hAnsi="仿宋_GB2312" w:cs="仿宋_GB2312"/>
          <w:sz w:val="32"/>
          <w:szCs w:val="32"/>
          <w:shd w:val="clear" w:color="auto" w:fill="FFFFFF"/>
        </w:rPr>
        <w:t xml:space="preserve"> </w:t>
      </w:r>
    </w:p>
    <w:p w14:paraId="60DD814B">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统一社会信用代码：91440300MADWUM898J</w:t>
      </w:r>
    </w:p>
    <w:p w14:paraId="6A74BDED">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法定代表人</w:t>
      </w:r>
      <w:r>
        <w:rPr>
          <w:rFonts w:hint="eastAsia" w:ascii="仿宋_GB2312" w:hAnsi="仿宋_GB2312" w:cs="仿宋_GB2312"/>
          <w:sz w:val="32"/>
          <w:szCs w:val="32"/>
          <w:lang w:val="en-US" w:eastAsia="zh-CN"/>
        </w:rPr>
        <w:t>/负责人</w:t>
      </w:r>
      <w:r>
        <w:rPr>
          <w:rFonts w:hint="eastAsia" w:ascii="仿宋_GB2312" w:hAnsi="仿宋_GB2312" w:cs="仿宋_GB2312"/>
          <w:sz w:val="32"/>
          <w:szCs w:val="32"/>
        </w:rPr>
        <w:t>：</w:t>
      </w:r>
      <w:r>
        <w:rPr>
          <w:rFonts w:hint="eastAsia" w:ascii="仿宋_GB2312" w:hAnsi="仿宋_GB2312" w:cs="仿宋_GB2312"/>
          <w:sz w:val="32"/>
          <w:szCs w:val="32"/>
          <w:lang w:val="en-US" w:eastAsia="zh-CN"/>
        </w:rPr>
        <w:t>朱智凌</w:t>
      </w:r>
    </w:p>
    <w:p w14:paraId="62D5BEE1">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地址：深圳市龙华区大浪街道新石社区浪韵路8号负2层、负1层-15层</w:t>
      </w:r>
    </w:p>
    <w:p w14:paraId="0117E11B">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 xml:space="preserve"> </w:t>
      </w:r>
    </w:p>
    <w:p w14:paraId="5DAB38CC">
      <w:pPr>
        <w:widowControl w:val="0"/>
        <w:adjustRightInd w:val="0"/>
        <w:snapToGrid w:val="0"/>
        <w:ind w:firstLine="640"/>
        <w:jc w:val="both"/>
        <w:rPr>
          <w:rFonts w:ascii="仿宋_GB2312" w:hAnsi="仿宋_GB2312" w:cs="仿宋_GB2312"/>
          <w:sz w:val="32"/>
          <w:szCs w:val="32"/>
        </w:rPr>
      </w:pPr>
      <w:bookmarkStart w:id="0" w:name="_GoBack"/>
      <w:bookmarkEnd w:id="0"/>
    </w:p>
    <w:p w14:paraId="674DB4F4">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乙方（卖方）</w:t>
      </w:r>
      <w:r>
        <w:rPr>
          <w:rFonts w:hint="eastAsia" w:ascii="仿宋_GB2312" w:hAnsi="仿宋_GB2312" w:cs="仿宋_GB2312"/>
          <w:sz w:val="32"/>
          <w:szCs w:val="32"/>
          <w:shd w:val="clear" w:color="auto" w:fill="FFFFFF"/>
        </w:rPr>
        <w:t>：</w:t>
      </w:r>
    </w:p>
    <w:p w14:paraId="126A580C">
      <w:pPr>
        <w:widowControl w:val="0"/>
        <w:adjustRightInd w:val="0"/>
        <w:snapToGrid w:val="0"/>
        <w:ind w:firstLine="640"/>
        <w:jc w:val="both"/>
        <w:rPr>
          <w:rFonts w:ascii="仿宋_GB2312" w:hAnsi="仿宋_GB2312" w:cs="仿宋_GB2312"/>
          <w:sz w:val="32"/>
          <w:szCs w:val="32"/>
        </w:rPr>
      </w:pPr>
      <w:r>
        <w:rPr>
          <w:rFonts w:hint="eastAsia" w:ascii="仿宋_GB2312" w:hAnsi="仿宋_GB2312" w:cs="仿宋_GB2312"/>
          <w:sz w:val="32"/>
          <w:szCs w:val="32"/>
        </w:rPr>
        <w:t>统一社会信用代码：</w:t>
      </w:r>
    </w:p>
    <w:p w14:paraId="29324505">
      <w:pPr>
        <w:widowControl w:val="0"/>
        <w:adjustRightInd w:val="0"/>
        <w:snapToGrid w:val="0"/>
        <w:ind w:firstLine="640"/>
        <w:jc w:val="both"/>
        <w:rPr>
          <w:rFonts w:ascii="仿宋_GB2312" w:hAnsi="仿宋_GB2312" w:cs="仿宋_GB2312"/>
          <w:sz w:val="32"/>
          <w:szCs w:val="32"/>
          <w:shd w:val="clear" w:color="auto" w:fill="FFFFFF"/>
        </w:rPr>
      </w:pPr>
      <w:r>
        <w:rPr>
          <w:rFonts w:hint="eastAsia" w:ascii="仿宋_GB2312" w:hAnsi="仿宋_GB2312" w:cs="仿宋_GB2312"/>
          <w:sz w:val="32"/>
          <w:szCs w:val="32"/>
        </w:rPr>
        <w:t>法定</w:t>
      </w:r>
      <w:r>
        <w:rPr>
          <w:rFonts w:hint="eastAsia" w:ascii="仿宋_GB2312" w:hAnsi="仿宋_GB2312" w:cs="仿宋_GB2312"/>
          <w:sz w:val="32"/>
          <w:szCs w:val="32"/>
          <w:shd w:val="clear" w:color="auto" w:fill="FFFFFF"/>
        </w:rPr>
        <w:t>代表人：</w:t>
      </w:r>
    </w:p>
    <w:p w14:paraId="2C1BB9AB">
      <w:pPr>
        <w:widowControl w:val="0"/>
        <w:adjustRightInd w:val="0"/>
        <w:snapToGrid w:val="0"/>
        <w:ind w:firstLine="640"/>
        <w:jc w:val="both"/>
        <w:rPr>
          <w:rFonts w:ascii="仿宋_GB2312" w:hAnsi="仿宋_GB2312" w:cs="仿宋_GB2312"/>
          <w:bCs/>
          <w:sz w:val="32"/>
          <w:szCs w:val="32"/>
          <w:u w:val="single"/>
          <w:shd w:val="clear" w:color="auto" w:fill="FFFFFF"/>
        </w:rPr>
      </w:pPr>
      <w:r>
        <w:rPr>
          <w:rFonts w:hint="eastAsia" w:ascii="仿宋_GB2312" w:hAnsi="仿宋_GB2312" w:cs="仿宋_GB2312"/>
          <w:sz w:val="32"/>
          <w:szCs w:val="32"/>
        </w:rPr>
        <w:t>地址</w:t>
      </w:r>
      <w:r>
        <w:rPr>
          <w:rFonts w:hint="eastAsia" w:ascii="仿宋_GB2312" w:hAnsi="仿宋_GB2312" w:cs="仿宋_GB2312"/>
          <w:sz w:val="32"/>
          <w:szCs w:val="32"/>
          <w:shd w:val="clear" w:color="auto" w:fill="FFFFFF"/>
        </w:rPr>
        <w:t>：</w:t>
      </w:r>
    </w:p>
    <w:p w14:paraId="0A8AE5ED">
      <w:pPr>
        <w:pStyle w:val="10"/>
        <w:widowControl w:val="0"/>
        <w:spacing w:before="0" w:beforeAutospacing="0" w:after="0" w:afterAutospacing="0"/>
        <w:ind w:firstLine="640"/>
        <w:jc w:val="both"/>
        <w:rPr>
          <w:rFonts w:ascii="仿宋_GB2312" w:hAnsi="仿宋_GB2312" w:cs="仿宋_GB2312"/>
          <w:color w:val="000000"/>
          <w:sz w:val="32"/>
          <w:szCs w:val="32"/>
          <w:u w:val="single"/>
        </w:rPr>
      </w:pPr>
    </w:p>
    <w:p w14:paraId="1E10D00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根据《中华人民共和国民法典》及有关法律、法规规定，甲乙双方在平等互利的原则下，经友好协商，</w:t>
      </w:r>
      <w:r>
        <w:rPr>
          <w:rFonts w:hint="eastAsia" w:ascii="仿宋_GB2312" w:hAnsi="仿宋_GB2312" w:cs="仿宋_GB2312"/>
          <w:kern w:val="2"/>
          <w:sz w:val="32"/>
          <w:szCs w:val="32"/>
        </w:rPr>
        <w:t>就甲方向乙方采购</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货物</w:t>
      </w:r>
      <w:r>
        <w:rPr>
          <w:rFonts w:hint="eastAsia" w:ascii="仿宋_GB2312" w:hAnsi="仿宋_GB2312" w:cs="仿宋_GB2312"/>
          <w:kern w:val="2"/>
          <w:sz w:val="32"/>
          <w:szCs w:val="32"/>
        </w:rPr>
        <w:t>的有关事宜订立本合同，以资共同遵守。</w:t>
      </w:r>
    </w:p>
    <w:p w14:paraId="11D19D27">
      <w:pPr>
        <w:pStyle w:val="6"/>
        <w:keepLines w:val="0"/>
        <w:widowControl w:val="0"/>
        <w:ind w:firstLine="640"/>
        <w:jc w:val="both"/>
        <w:rPr>
          <w:rFonts w:ascii="黑体" w:hAnsi="黑体" w:cs="黑体"/>
          <w:szCs w:val="32"/>
        </w:rPr>
      </w:pPr>
      <w:r>
        <w:rPr>
          <w:rFonts w:hint="eastAsia" w:ascii="黑体" w:hAnsi="黑体" w:cs="黑体"/>
          <w:szCs w:val="32"/>
        </w:rPr>
        <w:t>第一条 货物与价款</w:t>
      </w:r>
    </w:p>
    <w:p w14:paraId="38B52A65">
      <w:pPr>
        <w:pStyle w:val="10"/>
        <w:widowControl w:val="0"/>
        <w:spacing w:before="0" w:beforeAutospacing="0" w:after="0" w:afterAutospacing="0"/>
        <w:ind w:left="480" w:leftChars="200" w:firstLine="0" w:firstLineChars="0"/>
        <w:jc w:val="both"/>
        <w:rPr>
          <w:rFonts w:ascii="仿宋_GB2312" w:hAnsi="仿宋_GB2312" w:cs="仿宋_GB2312"/>
          <w:color w:val="000000"/>
          <w:sz w:val="32"/>
          <w:szCs w:val="32"/>
        </w:rPr>
      </w:pPr>
      <w:r>
        <w:rPr>
          <w:rFonts w:hint="eastAsia" w:ascii="仿宋_GB2312" w:hAnsi="仿宋_GB2312" w:cs="仿宋_GB2312"/>
          <w:color w:val="000000"/>
          <w:sz w:val="32"/>
          <w:szCs w:val="32"/>
        </w:rPr>
        <w:t>1.货物信息与价款如下：</w:t>
      </w:r>
    </w:p>
    <w:tbl>
      <w:tblPr>
        <w:tblStyle w:val="11"/>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723"/>
        <w:gridCol w:w="1841"/>
        <w:gridCol w:w="1805"/>
        <w:gridCol w:w="1012"/>
        <w:gridCol w:w="1232"/>
        <w:gridCol w:w="1305"/>
        <w:gridCol w:w="931"/>
      </w:tblGrid>
      <w:tr w14:paraId="7958F4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A7FB2D0">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序号</w:t>
            </w:r>
          </w:p>
        </w:tc>
        <w:tc>
          <w:tcPr>
            <w:tcW w:w="1841" w:type="dxa"/>
            <w:tcBorders>
              <w:top w:val="single" w:color="000000" w:sz="6" w:space="0"/>
              <w:left w:val="single" w:color="000000" w:sz="6" w:space="0"/>
              <w:bottom w:val="single" w:color="000000" w:sz="6" w:space="0"/>
              <w:right w:val="single" w:color="000000" w:sz="6" w:space="0"/>
            </w:tcBorders>
          </w:tcPr>
          <w:p w14:paraId="73292E56">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货物名称</w:t>
            </w:r>
          </w:p>
        </w:tc>
        <w:tc>
          <w:tcPr>
            <w:tcW w:w="1805" w:type="dxa"/>
            <w:tcBorders>
              <w:top w:val="single" w:color="000000" w:sz="6" w:space="0"/>
              <w:left w:val="single" w:color="000000" w:sz="6" w:space="0"/>
              <w:bottom w:val="single" w:color="000000" w:sz="6" w:space="0"/>
              <w:right w:val="single" w:color="000000" w:sz="6" w:space="0"/>
            </w:tcBorders>
          </w:tcPr>
          <w:p w14:paraId="73F4041B">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规格、产地等</w:t>
            </w:r>
          </w:p>
        </w:tc>
        <w:tc>
          <w:tcPr>
            <w:tcW w:w="1012" w:type="dxa"/>
            <w:tcBorders>
              <w:top w:val="single" w:color="000000" w:sz="6" w:space="0"/>
              <w:left w:val="single" w:color="000000" w:sz="6" w:space="0"/>
              <w:bottom w:val="single" w:color="000000" w:sz="6" w:space="0"/>
              <w:right w:val="single" w:color="000000" w:sz="6" w:space="0"/>
            </w:tcBorders>
          </w:tcPr>
          <w:p w14:paraId="2E850A11">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数量</w:t>
            </w:r>
          </w:p>
        </w:tc>
        <w:tc>
          <w:tcPr>
            <w:tcW w:w="1232" w:type="dxa"/>
            <w:tcBorders>
              <w:top w:val="single" w:color="000000" w:sz="6" w:space="0"/>
              <w:left w:val="single" w:color="000000" w:sz="6" w:space="0"/>
              <w:bottom w:val="single" w:color="000000" w:sz="6" w:space="0"/>
              <w:right w:val="single" w:color="000000" w:sz="6" w:space="0"/>
            </w:tcBorders>
          </w:tcPr>
          <w:p w14:paraId="1CB79D08">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单价（元）</w:t>
            </w:r>
          </w:p>
        </w:tc>
        <w:tc>
          <w:tcPr>
            <w:tcW w:w="1305" w:type="dxa"/>
            <w:tcBorders>
              <w:top w:val="single" w:color="000000" w:sz="6" w:space="0"/>
              <w:left w:val="single" w:color="000000" w:sz="6" w:space="0"/>
              <w:bottom w:val="single" w:color="000000" w:sz="6" w:space="0"/>
              <w:right w:val="single" w:color="000000" w:sz="6" w:space="0"/>
            </w:tcBorders>
          </w:tcPr>
          <w:p w14:paraId="1F1FD82E">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小计（元）</w:t>
            </w:r>
          </w:p>
        </w:tc>
        <w:tc>
          <w:tcPr>
            <w:tcW w:w="931" w:type="dxa"/>
            <w:tcBorders>
              <w:top w:val="single" w:color="000000" w:sz="6" w:space="0"/>
              <w:left w:val="single" w:color="000000" w:sz="6" w:space="0"/>
              <w:bottom w:val="single" w:color="000000" w:sz="6" w:space="0"/>
              <w:right w:val="single" w:color="000000" w:sz="6" w:space="0"/>
            </w:tcBorders>
          </w:tcPr>
          <w:p w14:paraId="752E26AB">
            <w:pPr>
              <w:pStyle w:val="10"/>
              <w:widowControl w:val="0"/>
              <w:spacing w:before="0" w:beforeAutospacing="0" w:after="0" w:afterAutospacing="0"/>
              <w:ind w:firstLine="0" w:firstLineChars="0"/>
              <w:jc w:val="center"/>
              <w:rPr>
                <w:rFonts w:ascii="仿宋_GB2312" w:hAnsi="仿宋_GB2312" w:cs="仿宋_GB2312"/>
                <w:color w:val="000000"/>
                <w:sz w:val="28"/>
                <w:szCs w:val="28"/>
              </w:rPr>
            </w:pPr>
            <w:r>
              <w:rPr>
                <w:rFonts w:hint="eastAsia" w:ascii="仿宋_GB2312" w:hAnsi="仿宋_GB2312" w:cs="仿宋_GB2312"/>
                <w:color w:val="000000"/>
                <w:sz w:val="28"/>
                <w:szCs w:val="28"/>
              </w:rPr>
              <w:t>备注</w:t>
            </w:r>
          </w:p>
        </w:tc>
      </w:tr>
      <w:tr w14:paraId="077EEF8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92B474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B664032">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0109644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3310612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5B96507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6D480DC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523966A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4F4098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5625042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583F0B18">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738FCFE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6AE47A1D">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4FF2B1E1">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16B664C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28FE785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255C2A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03A815F9">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694C4AEA">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6C7B47C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2DF28AFF">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667AAD8C">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50B17DB5">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6EF2F157">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56B3335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7AF7393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41" w:type="dxa"/>
            <w:tcBorders>
              <w:top w:val="single" w:color="000000" w:sz="6" w:space="0"/>
              <w:left w:val="single" w:color="000000" w:sz="6" w:space="0"/>
              <w:bottom w:val="single" w:color="000000" w:sz="6" w:space="0"/>
              <w:right w:val="single" w:color="000000" w:sz="6" w:space="0"/>
            </w:tcBorders>
          </w:tcPr>
          <w:p w14:paraId="7B6A367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805" w:type="dxa"/>
            <w:tcBorders>
              <w:top w:val="single" w:color="000000" w:sz="6" w:space="0"/>
              <w:left w:val="single" w:color="000000" w:sz="6" w:space="0"/>
              <w:bottom w:val="single" w:color="000000" w:sz="6" w:space="0"/>
              <w:right w:val="single" w:color="000000" w:sz="6" w:space="0"/>
            </w:tcBorders>
          </w:tcPr>
          <w:p w14:paraId="4029BA9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012" w:type="dxa"/>
            <w:tcBorders>
              <w:top w:val="single" w:color="000000" w:sz="6" w:space="0"/>
              <w:left w:val="single" w:color="000000" w:sz="6" w:space="0"/>
              <w:bottom w:val="single" w:color="000000" w:sz="6" w:space="0"/>
              <w:right w:val="single" w:color="000000" w:sz="6" w:space="0"/>
            </w:tcBorders>
          </w:tcPr>
          <w:p w14:paraId="1AAE70A6">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232" w:type="dxa"/>
            <w:tcBorders>
              <w:top w:val="single" w:color="000000" w:sz="6" w:space="0"/>
              <w:left w:val="single" w:color="000000" w:sz="6" w:space="0"/>
              <w:bottom w:val="single" w:color="000000" w:sz="6" w:space="0"/>
              <w:right w:val="single" w:color="000000" w:sz="6" w:space="0"/>
            </w:tcBorders>
          </w:tcPr>
          <w:p w14:paraId="7FC4738E">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1305" w:type="dxa"/>
            <w:tcBorders>
              <w:top w:val="single" w:color="000000" w:sz="6" w:space="0"/>
              <w:left w:val="single" w:color="000000" w:sz="6" w:space="0"/>
              <w:bottom w:val="single" w:color="000000" w:sz="6" w:space="0"/>
              <w:right w:val="single" w:color="000000" w:sz="6" w:space="0"/>
            </w:tcBorders>
          </w:tcPr>
          <w:p w14:paraId="71BBB843">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931" w:type="dxa"/>
            <w:tcBorders>
              <w:top w:val="single" w:color="000000" w:sz="6" w:space="0"/>
              <w:left w:val="single" w:color="000000" w:sz="6" w:space="0"/>
              <w:bottom w:val="single" w:color="000000" w:sz="6" w:space="0"/>
              <w:right w:val="single" w:color="000000" w:sz="6" w:space="0"/>
            </w:tcBorders>
          </w:tcPr>
          <w:p w14:paraId="0AD869AB">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r>
      <w:tr w14:paraId="228AA7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jc w:val="center"/>
        </w:trPr>
        <w:tc>
          <w:tcPr>
            <w:tcW w:w="723" w:type="dxa"/>
            <w:tcBorders>
              <w:top w:val="single" w:color="000000" w:sz="6" w:space="0"/>
              <w:left w:val="single" w:color="000000" w:sz="6" w:space="0"/>
              <w:bottom w:val="single" w:color="000000" w:sz="6" w:space="0"/>
              <w:right w:val="single" w:color="000000" w:sz="6" w:space="0"/>
            </w:tcBorders>
          </w:tcPr>
          <w:p w14:paraId="6F527600">
            <w:pPr>
              <w:pStyle w:val="10"/>
              <w:widowControl w:val="0"/>
              <w:spacing w:before="0" w:beforeAutospacing="0" w:after="0" w:afterAutospacing="0"/>
              <w:ind w:firstLine="0" w:firstLineChars="0"/>
              <w:jc w:val="both"/>
              <w:rPr>
                <w:rFonts w:ascii="仿宋_GB2312" w:hAnsi="仿宋_GB2312" w:cs="仿宋_GB2312"/>
                <w:color w:val="000000"/>
                <w:sz w:val="28"/>
                <w:szCs w:val="28"/>
              </w:rPr>
            </w:pPr>
          </w:p>
        </w:tc>
        <w:tc>
          <w:tcPr>
            <w:tcW w:w="8126" w:type="dxa"/>
            <w:gridSpan w:val="6"/>
            <w:tcBorders>
              <w:top w:val="single" w:color="000000" w:sz="6" w:space="0"/>
              <w:left w:val="single" w:color="000000" w:sz="6" w:space="0"/>
              <w:bottom w:val="single" w:color="000000" w:sz="6" w:space="0"/>
              <w:right w:val="single" w:color="000000" w:sz="6" w:space="0"/>
            </w:tcBorders>
          </w:tcPr>
          <w:p w14:paraId="5547433C">
            <w:pPr>
              <w:pStyle w:val="10"/>
              <w:widowControl w:val="0"/>
              <w:spacing w:before="0" w:beforeAutospacing="0" w:after="0" w:afterAutospacing="0"/>
              <w:ind w:firstLine="0" w:firstLineChars="0"/>
              <w:jc w:val="both"/>
              <w:rPr>
                <w:rFonts w:ascii="仿宋_GB2312" w:hAnsi="仿宋_GB2312" w:cs="仿宋_GB2312"/>
                <w:color w:val="000000"/>
                <w:sz w:val="28"/>
                <w:szCs w:val="28"/>
              </w:rPr>
            </w:pPr>
            <w:r>
              <w:rPr>
                <w:rFonts w:hint="eastAsia" w:ascii="仿宋_GB2312" w:hAnsi="仿宋_GB2312" w:cs="仿宋_GB2312"/>
                <w:color w:val="000000"/>
                <w:sz w:val="28"/>
                <w:szCs w:val="28"/>
              </w:rPr>
              <w:t>总计（合同总价款）：￥</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（大写：</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w:t>
            </w:r>
          </w:p>
        </w:tc>
      </w:tr>
    </w:tbl>
    <w:p w14:paraId="6F174E4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1.1付款方式</w:t>
      </w:r>
    </w:p>
    <w:p w14:paraId="2B11087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1.1.1首笔款：￥</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（大写：</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），于本合同签订后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个工作日内预付3</w:t>
      </w:r>
      <w:r>
        <w:rPr>
          <w:rFonts w:ascii="仿宋_GB2312" w:hAnsi="仿宋_GB2312" w:cs="仿宋_GB2312"/>
          <w:color w:val="000000"/>
          <w:sz w:val="32"/>
          <w:szCs w:val="32"/>
        </w:rPr>
        <w:t>0%</w:t>
      </w:r>
      <w:r>
        <w:rPr>
          <w:rFonts w:hint="eastAsia" w:ascii="仿宋_GB2312" w:hAnsi="仿宋_GB2312" w:cs="仿宋_GB2312"/>
          <w:color w:val="000000"/>
          <w:sz w:val="32"/>
          <w:szCs w:val="32"/>
        </w:rPr>
        <w:t>货款。</w:t>
      </w:r>
    </w:p>
    <w:p w14:paraId="4A7DC3C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1.1.2尾款：乙方交付货物并经甲方验收通过后的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个工作日内，甲方付清全部合同价款的6</w:t>
      </w:r>
      <w:r>
        <w:rPr>
          <w:rFonts w:ascii="仿宋_GB2312" w:hAnsi="仿宋_GB2312" w:cs="仿宋_GB2312"/>
          <w:color w:val="000000"/>
          <w:sz w:val="32"/>
          <w:szCs w:val="32"/>
        </w:rPr>
        <w:t>5%</w:t>
      </w:r>
      <w:r>
        <w:rPr>
          <w:rFonts w:hint="eastAsia" w:ascii="仿宋_GB2312" w:hAnsi="仿宋_GB2312" w:cs="仿宋_GB2312"/>
          <w:color w:val="000000"/>
          <w:sz w:val="32"/>
          <w:szCs w:val="32"/>
        </w:rPr>
        <w:t>。</w:t>
      </w:r>
    </w:p>
    <w:p w14:paraId="0A9537A8">
      <w:pPr>
        <w:pStyle w:val="10"/>
        <w:widowControl w:val="0"/>
        <w:spacing w:before="0" w:beforeAutospacing="0" w:after="0" w:afterAutospacing="0"/>
        <w:ind w:firstLine="640"/>
        <w:jc w:val="both"/>
        <w:rPr>
          <w:rFonts w:ascii="仿宋_GB2312" w:hAnsi="仿宋_GB2312" w:cs="仿宋_GB2312"/>
          <w:color w:val="000000"/>
          <w:sz w:val="32"/>
          <w:szCs w:val="32"/>
        </w:rPr>
      </w:pPr>
      <w:r>
        <w:rPr>
          <w:rFonts w:ascii="仿宋_GB2312" w:hAnsi="仿宋_GB2312" w:cs="仿宋_GB2312"/>
          <w:color w:val="000000"/>
          <w:sz w:val="32"/>
          <w:szCs w:val="32"/>
        </w:rPr>
        <w:t xml:space="preserve">1.1.3 </w:t>
      </w:r>
      <w:r>
        <w:rPr>
          <w:rFonts w:hint="eastAsia" w:ascii="仿宋_GB2312" w:hAnsi="仿宋_GB2312" w:cs="仿宋_GB2312"/>
          <w:color w:val="000000"/>
          <w:sz w:val="32"/>
          <w:szCs w:val="32"/>
        </w:rPr>
        <w:t>质保金：留5%质保金一年后无息支付。</w:t>
      </w:r>
    </w:p>
    <w:p w14:paraId="5404933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1.2除本合同明确约定的以外，甲方无需就本合同的履行向乙方支付其他价款或费用。</w:t>
      </w:r>
    </w:p>
    <w:p w14:paraId="6910718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1.3乙方指定收款账号：</w:t>
      </w:r>
    </w:p>
    <w:p w14:paraId="105C1224">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户名：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3263D8E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账号：</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7D9DBD4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7C6D762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1.4发票</w:t>
      </w:r>
    </w:p>
    <w:p w14:paraId="7414812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本合同中约定的价款或交易金额为含税金额，乙方应向甲方提供正规足额增值税专用发票。发票信息如下：</w:t>
      </w:r>
    </w:p>
    <w:p w14:paraId="03D1185D">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96ED78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纳税人识别号：</w:t>
      </w:r>
      <w:r>
        <w:rPr>
          <w:rFonts w:hint="eastAsia" w:ascii="仿宋_GB2312" w:hAnsi="仿宋_GB2312" w:cs="仿宋_GB2312"/>
          <w:color w:val="000000"/>
          <w:sz w:val="32"/>
          <w:szCs w:val="32"/>
          <w:u w:val="single"/>
        </w:rPr>
        <w:t xml:space="preserve">                   </w:t>
      </w:r>
    </w:p>
    <w:p w14:paraId="18A97FB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地址、电话：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3D1094CC">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开户行及账号：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6955E38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货物或应税劳务名称：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3759DBF3">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增值税率： </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w:t>
      </w:r>
    </w:p>
    <w:p w14:paraId="1BE50784">
      <w:pPr>
        <w:pStyle w:val="6"/>
        <w:keepLines w:val="0"/>
        <w:widowControl w:val="0"/>
        <w:ind w:firstLine="640"/>
        <w:jc w:val="both"/>
        <w:rPr>
          <w:rFonts w:ascii="黑体" w:hAnsi="黑体" w:cs="黑体"/>
          <w:szCs w:val="32"/>
        </w:rPr>
      </w:pPr>
      <w:r>
        <w:rPr>
          <w:rFonts w:hint="eastAsia" w:ascii="黑体" w:hAnsi="黑体" w:cs="黑体"/>
          <w:szCs w:val="32"/>
        </w:rPr>
        <w:t>第二条 质量</w:t>
      </w:r>
    </w:p>
    <w:p w14:paraId="4D0F6A5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1.按该货物所适用的国家标准（强制性或推荐性标准）、行业标准、地方标准、生产企业标准执行，并以其中最高的标准为准。</w:t>
      </w:r>
    </w:p>
    <w:p w14:paraId="2BCA9CF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虽有上述标准，但双方对质量有特殊或更高要求的，应按特殊或更高要求执行，无特别要求的，按上述标准执行。 </w:t>
      </w:r>
    </w:p>
    <w:p w14:paraId="228E7E8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2.质量应同时符合乙方所提供的产品说明书或相关说明文档中所列明的标准。</w:t>
      </w:r>
    </w:p>
    <w:p w14:paraId="7947BB0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3.乙方保证所提供的货物是全新、优质、无损的，并在各个方面符合本合同约定及法定的质量、规格、性能要求。</w:t>
      </w:r>
    </w:p>
    <w:p w14:paraId="719A6F8B">
      <w:pPr>
        <w:pStyle w:val="6"/>
        <w:keepLines w:val="0"/>
        <w:widowControl w:val="0"/>
        <w:ind w:firstLine="640"/>
        <w:jc w:val="both"/>
        <w:rPr>
          <w:rFonts w:ascii="黑体" w:hAnsi="黑体" w:cs="黑体"/>
          <w:szCs w:val="32"/>
        </w:rPr>
      </w:pPr>
      <w:r>
        <w:rPr>
          <w:rFonts w:hint="eastAsia" w:ascii="黑体" w:hAnsi="黑体" w:cs="黑体"/>
          <w:szCs w:val="32"/>
        </w:rPr>
        <w:t>第三条 交货</w:t>
      </w:r>
    </w:p>
    <w:p w14:paraId="594D8368">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1.交货时间：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年</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日前。</w:t>
      </w:r>
    </w:p>
    <w:p w14:paraId="040755E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2.交货地点：甲方指定地点</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w:t>
      </w:r>
    </w:p>
    <w:p w14:paraId="30C0F9E2">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3.验收：交货当时进行外观、数量验收；交货后</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日内进行质量验收。验收期内未提出异议的，视为质量无问题、验收通过。</w:t>
      </w:r>
    </w:p>
    <w:p w14:paraId="556B4E39">
      <w:pPr>
        <w:pStyle w:val="6"/>
        <w:keepLines w:val="0"/>
        <w:widowControl w:val="0"/>
        <w:ind w:firstLine="640"/>
        <w:jc w:val="both"/>
        <w:rPr>
          <w:rFonts w:ascii="黑体" w:hAnsi="黑体" w:cs="黑体"/>
          <w:szCs w:val="32"/>
        </w:rPr>
      </w:pPr>
      <w:r>
        <w:rPr>
          <w:rFonts w:hint="eastAsia" w:ascii="黑体" w:hAnsi="黑体" w:cs="黑体"/>
          <w:szCs w:val="32"/>
        </w:rPr>
        <w:t>第四条 质保期</w:t>
      </w:r>
    </w:p>
    <w:p w14:paraId="529E7B8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1.质保期为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个月，自货物通过甲方验收之日起算。</w:t>
      </w:r>
    </w:p>
    <w:p w14:paraId="09F3E5B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2.本合同约定的质保期期限短于乙方承诺或国家、行业标准的，以较高要求为准。</w:t>
      </w:r>
    </w:p>
    <w:p w14:paraId="0AB890F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3.质保期内，如货物不能正常使用，乙方应按甲方要求免费为其更换或修理并承担相应费用。</w:t>
      </w:r>
    </w:p>
    <w:p w14:paraId="776655D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4.发生前述情形的，质保期自更换或修理完毕后重新计算。</w:t>
      </w:r>
    </w:p>
    <w:p w14:paraId="7AD811D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5.质保期满后，乙方应按甲方要求提供修理及更换零部件的服务，乙方仅收取人工费用与零部件费用，不收取其他报酬。</w:t>
      </w:r>
    </w:p>
    <w:p w14:paraId="2DDF6680">
      <w:pPr>
        <w:pStyle w:val="6"/>
        <w:keepLines w:val="0"/>
        <w:widowControl w:val="0"/>
        <w:ind w:firstLine="640"/>
        <w:jc w:val="both"/>
        <w:rPr>
          <w:rFonts w:ascii="黑体" w:hAnsi="黑体" w:cs="黑体"/>
          <w:szCs w:val="32"/>
        </w:rPr>
      </w:pPr>
      <w:r>
        <w:rPr>
          <w:rFonts w:hint="eastAsia" w:ascii="黑体" w:hAnsi="黑体" w:cs="黑体"/>
          <w:szCs w:val="32"/>
        </w:rPr>
        <w:t>第五条 违约责任</w:t>
      </w:r>
    </w:p>
    <w:p w14:paraId="4FBD5CB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1.甲方逾期付款的，每逾期一天，应按逾期金额的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%向乙方支付违约金。逾期超过15日的，乙方有权解除本合同。</w:t>
      </w:r>
    </w:p>
    <w:p w14:paraId="3EC5A64E">
      <w:pPr>
        <w:pStyle w:val="10"/>
        <w:widowControl w:val="0"/>
        <w:wordWrap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2.乙方逾期交货的，每逾期一天，应按相应货款金额的</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%向甲方支付违约金。甲方有权从应向乙方支付的货款金额中扣除该违约金。逾期超过15天的，甲方有权解除本合同。</w:t>
      </w:r>
    </w:p>
    <w:p w14:paraId="52F0CA32">
      <w:pPr>
        <w:pStyle w:val="10"/>
        <w:widowControl w:val="0"/>
        <w:spacing w:before="0" w:beforeAutospacing="0" w:after="0" w:afterAutospacing="0"/>
        <w:ind w:firstLine="640"/>
        <w:jc w:val="both"/>
      </w:pPr>
      <w:r>
        <w:rPr>
          <w:rFonts w:hint="eastAsia" w:ascii="仿宋_GB2312" w:hAnsi="仿宋_GB2312" w:cs="仿宋_GB2312"/>
          <w:color w:val="000000"/>
          <w:sz w:val="32"/>
          <w:szCs w:val="32"/>
        </w:rPr>
        <w:t>3.乙方违约提前解除本合同或因乙方违约导致甲方解除本合同的，甲方有权要求乙方退还甲方支付的全部款项，并要求乙方按照</w:t>
      </w:r>
      <w:r>
        <w:rPr>
          <w:rFonts w:hint="eastAsia" w:ascii="仿宋_GB2312" w:hAnsi="仿宋_GB2312" w:cs="仿宋_GB2312"/>
          <w:color w:val="000000"/>
          <w:sz w:val="32"/>
          <w:szCs w:val="32"/>
          <w:u w:val="single"/>
        </w:rPr>
        <w:t>合同价款的20%</w:t>
      </w:r>
      <w:r>
        <w:rPr>
          <w:rFonts w:hint="eastAsia" w:ascii="仿宋_GB2312" w:hAnsi="仿宋_GB2312" w:cs="仿宋_GB2312"/>
          <w:color w:val="000000"/>
          <w:sz w:val="32"/>
          <w:szCs w:val="32"/>
        </w:rPr>
        <w:t>向甲方支付违约金。违约金不足以赔偿甲方损失的，乙方还应赔偿甲方全部损失。 </w:t>
      </w:r>
    </w:p>
    <w:p w14:paraId="780E1AEE">
      <w:pPr>
        <w:pStyle w:val="6"/>
        <w:keepLines w:val="0"/>
        <w:widowControl w:val="0"/>
        <w:ind w:firstLine="640"/>
        <w:jc w:val="both"/>
        <w:rPr>
          <w:rFonts w:ascii="黑体" w:hAnsi="黑体" w:cs="黑体"/>
          <w:szCs w:val="32"/>
        </w:rPr>
      </w:pPr>
      <w:r>
        <w:rPr>
          <w:rFonts w:hint="eastAsia" w:ascii="黑体" w:hAnsi="黑体" w:cs="黑体"/>
          <w:szCs w:val="32"/>
        </w:rPr>
        <w:t>第六条 合同联系方式</w:t>
      </w:r>
    </w:p>
    <w:p w14:paraId="5EDF2DF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1.为更好的履行本合同，双方提供如下联系方式：</w:t>
      </w:r>
    </w:p>
    <w:p w14:paraId="27CD636F">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1.1甲方联系方式</w:t>
      </w:r>
    </w:p>
    <w:p w14:paraId="3CF617E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3A13A80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93A9D15">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054D1C0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0F1C5E19">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276DFB2A">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1.2乙方联系方式</w:t>
      </w:r>
    </w:p>
    <w:p w14:paraId="1DC2938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联系人：</w:t>
      </w:r>
      <w:r>
        <w:rPr>
          <w:rFonts w:hint="eastAsia" w:ascii="仿宋_GB2312" w:hAnsi="仿宋_GB2312" w:cs="仿宋_GB2312"/>
          <w:color w:val="000000"/>
          <w:sz w:val="32"/>
          <w:szCs w:val="32"/>
          <w:u w:val="single"/>
        </w:rPr>
        <w:t xml:space="preserve">                    </w:t>
      </w:r>
      <w:r>
        <w:rPr>
          <w:rFonts w:hint="eastAsia" w:ascii="仿宋_GB2312" w:hAnsi="仿宋_GB2312" w:cs="仿宋_GB2312"/>
          <w:color w:val="000000"/>
          <w:sz w:val="32"/>
          <w:szCs w:val="32"/>
        </w:rPr>
        <w:t xml:space="preserve">             </w:t>
      </w:r>
    </w:p>
    <w:p w14:paraId="63365476">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地址：</w:t>
      </w:r>
      <w:r>
        <w:rPr>
          <w:rFonts w:hint="eastAsia" w:ascii="仿宋_GB2312" w:hAnsi="仿宋_GB2312" w:cs="仿宋_GB2312"/>
          <w:color w:val="000000"/>
          <w:sz w:val="32"/>
          <w:szCs w:val="32"/>
          <w:u w:val="single"/>
        </w:rPr>
        <w:t xml:space="preserve">                      </w:t>
      </w:r>
    </w:p>
    <w:p w14:paraId="6A458959">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手机：</w:t>
      </w:r>
      <w:r>
        <w:rPr>
          <w:rFonts w:hint="eastAsia" w:ascii="仿宋_GB2312" w:hAnsi="仿宋_GB2312" w:cs="仿宋_GB2312"/>
          <w:color w:val="000000"/>
          <w:sz w:val="32"/>
          <w:szCs w:val="32"/>
          <w:u w:val="single"/>
        </w:rPr>
        <w:t xml:space="preserve">                      </w:t>
      </w:r>
    </w:p>
    <w:p w14:paraId="5739D415">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微信：</w:t>
      </w:r>
      <w:r>
        <w:rPr>
          <w:rFonts w:hint="eastAsia" w:ascii="仿宋_GB2312" w:hAnsi="仿宋_GB2312" w:cs="仿宋_GB2312"/>
          <w:color w:val="000000"/>
          <w:sz w:val="32"/>
          <w:szCs w:val="32"/>
          <w:u w:val="single"/>
        </w:rPr>
        <w:t xml:space="preserve">                      </w:t>
      </w:r>
    </w:p>
    <w:p w14:paraId="7851DD25">
      <w:pPr>
        <w:pStyle w:val="10"/>
        <w:widowControl w:val="0"/>
        <w:spacing w:before="0" w:beforeAutospacing="0" w:after="0" w:afterAutospacing="0"/>
        <w:ind w:firstLine="640"/>
        <w:jc w:val="both"/>
        <w:rPr>
          <w:rFonts w:ascii="仿宋_GB2312" w:hAnsi="仿宋_GB2312" w:cs="仿宋_GB2312"/>
          <w:color w:val="000000"/>
          <w:sz w:val="32"/>
          <w:szCs w:val="32"/>
          <w:u w:val="single"/>
        </w:rPr>
      </w:pPr>
      <w:r>
        <w:rPr>
          <w:rFonts w:hint="eastAsia" w:ascii="仿宋_GB2312" w:hAnsi="仿宋_GB2312" w:cs="仿宋_GB2312"/>
          <w:color w:val="000000"/>
          <w:sz w:val="32"/>
          <w:szCs w:val="32"/>
        </w:rPr>
        <w:t>电子邮箱：</w:t>
      </w:r>
      <w:r>
        <w:rPr>
          <w:rFonts w:hint="eastAsia" w:ascii="仿宋_GB2312" w:hAnsi="仿宋_GB2312" w:cs="仿宋_GB2312"/>
          <w:color w:val="000000"/>
          <w:sz w:val="32"/>
          <w:szCs w:val="32"/>
          <w:u w:val="single"/>
        </w:rPr>
        <w:t xml:space="preserve">                  </w:t>
      </w:r>
    </w:p>
    <w:p w14:paraId="6703E96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2.通过电子邮箱及其它电子方式送达时，发出之日即视为有效送达。</w:t>
      </w:r>
    </w:p>
    <w:p w14:paraId="2EEA9E04">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3.通过快递等方式送达时，接收方签收之日视为有效送达；对方拒收或退回的，视为签收。</w:t>
      </w:r>
    </w:p>
    <w:p w14:paraId="1560171E">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4.上述联系方式同时作为有效司法送达地址。</w:t>
      </w:r>
    </w:p>
    <w:p w14:paraId="37EA7060">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5.一方变更联系方式，应以书面形式通知对方；否则，该联系方式仍视为有效，由未通知方承担由此而引起的相关责任。</w:t>
      </w:r>
    </w:p>
    <w:p w14:paraId="19010A9B">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6.本联系方式条款为独立条款，不受合同整体或其他条款的效力影响，始终有效。</w:t>
      </w:r>
    </w:p>
    <w:p w14:paraId="7588B1EC">
      <w:pPr>
        <w:pStyle w:val="6"/>
        <w:keepLines w:val="0"/>
        <w:widowControl w:val="0"/>
        <w:ind w:firstLine="640"/>
        <w:jc w:val="both"/>
        <w:rPr>
          <w:rFonts w:ascii="黑体" w:hAnsi="黑体" w:cs="黑体"/>
          <w:szCs w:val="32"/>
        </w:rPr>
      </w:pPr>
      <w:r>
        <w:rPr>
          <w:rFonts w:hint="eastAsia" w:ascii="黑体" w:hAnsi="黑体" w:cs="黑体"/>
          <w:szCs w:val="32"/>
        </w:rPr>
        <w:t>第七条 反商业贿赂</w:t>
      </w:r>
    </w:p>
    <w:p w14:paraId="7CDBC017">
      <w:pPr>
        <w:pStyle w:val="10"/>
        <w:widowControl w:val="0"/>
        <w:spacing w:before="0" w:beforeAutospacing="0" w:after="0" w:afterAutospacing="0"/>
        <w:ind w:firstLine="640"/>
        <w:jc w:val="both"/>
        <w:rPr>
          <w:rFonts w:ascii="仿宋_GB2312" w:hAnsi="仿宋_GB2312" w:cs="仿宋_GB2312"/>
          <w:color w:val="000000"/>
          <w:sz w:val="32"/>
          <w:szCs w:val="32"/>
        </w:rPr>
      </w:pPr>
      <w:r>
        <w:rPr>
          <w:rFonts w:hint="eastAsia" w:ascii="仿宋_GB2312" w:hAnsi="仿宋_GB2312" w:cs="仿宋_GB231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57622CB3">
      <w:pPr>
        <w:pStyle w:val="2"/>
        <w:widowControl w:val="0"/>
        <w:ind w:firstLine="640"/>
        <w:jc w:val="both"/>
        <w:rPr>
          <w:rFonts w:ascii="黑体" w:hAnsi="黑体" w:eastAsia="黑体" w:cs="黑体"/>
          <w:bCs/>
          <w:sz w:val="32"/>
          <w:szCs w:val="32"/>
        </w:rPr>
      </w:pPr>
      <w:r>
        <w:rPr>
          <w:rFonts w:hint="eastAsia" w:ascii="黑体" w:hAnsi="黑体" w:eastAsia="黑体" w:cs="黑体"/>
          <w:bCs/>
          <w:sz w:val="32"/>
          <w:szCs w:val="32"/>
        </w:rPr>
        <w:t>第八条 争议解决</w:t>
      </w:r>
    </w:p>
    <w:p w14:paraId="3EDAE671">
      <w:pPr>
        <w:pStyle w:val="2"/>
        <w:widowControl w:val="0"/>
        <w:ind w:firstLine="640"/>
        <w:jc w:val="both"/>
        <w:rPr>
          <w:rFonts w:ascii="仿宋_GB2312" w:hAnsi="仿宋_GB2312" w:cs="仿宋_GB2312"/>
          <w:kern w:val="2"/>
          <w:sz w:val="32"/>
          <w:szCs w:val="32"/>
        </w:rPr>
      </w:pPr>
      <w:r>
        <w:rPr>
          <w:rFonts w:hint="eastAsia" w:ascii="仿宋_GB2312" w:hAnsi="仿宋_GB2312" w:cs="仿宋_GB2312"/>
          <w:kern w:val="2"/>
          <w:sz w:val="32"/>
          <w:szCs w:val="32"/>
        </w:rPr>
        <w:t>因本合同以及本合同项下订单/附件/补充协议等（如有）引起或有关的任何争议，双方应本着互信的原则协商解决，协商不成双方均有权向甲方所在地有管辖权的人民法院提起诉讼。</w:t>
      </w:r>
    </w:p>
    <w:p w14:paraId="24B9E4EC">
      <w:pPr>
        <w:widowControl w:val="0"/>
        <w:ind w:firstLine="640"/>
        <w:jc w:val="both"/>
        <w:rPr>
          <w:rFonts w:ascii="黑体" w:hAnsi="黑体" w:eastAsia="黑体" w:cs="黑体"/>
          <w:bCs/>
          <w:sz w:val="32"/>
          <w:szCs w:val="32"/>
        </w:rPr>
      </w:pPr>
      <w:r>
        <w:rPr>
          <w:rFonts w:hint="eastAsia" w:ascii="黑体" w:hAnsi="黑体" w:eastAsia="黑体" w:cs="黑体"/>
          <w:bCs/>
          <w:sz w:val="32"/>
          <w:szCs w:val="32"/>
        </w:rPr>
        <w:t>第九条 附则</w:t>
      </w:r>
    </w:p>
    <w:p w14:paraId="1B573372">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1.本合同壹式</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份，甲方执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份，乙方执</w:t>
      </w:r>
      <w:r>
        <w:rPr>
          <w:rFonts w:hint="eastAsia" w:ascii="仿宋_GB2312" w:hAnsi="仿宋_GB2312" w:cs="仿宋_GB2312"/>
          <w:sz w:val="32"/>
          <w:szCs w:val="32"/>
          <w:u w:val="single"/>
        </w:rPr>
        <w:t xml:space="preserve">     </w:t>
      </w:r>
      <w:r>
        <w:rPr>
          <w:rFonts w:hint="eastAsia" w:ascii="仿宋_GB2312" w:hAnsi="仿宋_GB2312" w:cs="仿宋_GB2312"/>
          <w:sz w:val="32"/>
          <w:szCs w:val="32"/>
        </w:rPr>
        <w:t>份，具有同等法律效力。</w:t>
      </w:r>
    </w:p>
    <w:p w14:paraId="4AEDC8BC">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2.本合同自双方法定代表人或授权代表签字并加盖公章之日起生效。</w:t>
      </w:r>
    </w:p>
    <w:p w14:paraId="110EE3BB">
      <w:pPr>
        <w:widowControl w:val="0"/>
        <w:ind w:firstLine="640"/>
        <w:jc w:val="both"/>
        <w:rPr>
          <w:rFonts w:ascii="仿宋_GB2312" w:hAnsi="仿宋_GB2312" w:cs="仿宋_GB2312"/>
          <w:sz w:val="32"/>
          <w:szCs w:val="32"/>
        </w:rPr>
      </w:pPr>
      <w:r>
        <w:rPr>
          <w:rFonts w:hint="eastAsia" w:ascii="仿宋_GB2312" w:hAnsi="仿宋_GB2312" w:cs="仿宋_GB2312"/>
          <w:sz w:val="32"/>
          <w:szCs w:val="32"/>
        </w:rPr>
        <w:t>3.本合同未尽事宜双方可协商另行签订补充协议，补充协议与本合同具有同等法律效力。</w:t>
      </w:r>
    </w:p>
    <w:p w14:paraId="61F8098C">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4BF642B8">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18328FC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240D02AF">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294954B8">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AE43AA5">
      <w:pPr>
        <w:pStyle w:val="10"/>
        <w:widowControl w:val="0"/>
        <w:spacing w:before="0" w:beforeAutospacing="0" w:after="0" w:afterAutospacing="0"/>
        <w:ind w:firstLine="0" w:firstLineChars="0"/>
        <w:jc w:val="both"/>
        <w:rPr>
          <w:rFonts w:ascii="仿宋_GB2312" w:hAnsi="仿宋_GB2312" w:cs="仿宋_GB2312"/>
          <w:color w:val="000000"/>
          <w:sz w:val="32"/>
          <w:szCs w:val="32"/>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1662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7E98E5FA">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甲方（公章）：</w:t>
            </w:r>
          </w:p>
        </w:tc>
        <w:tc>
          <w:tcPr>
            <w:tcW w:w="4585" w:type="dxa"/>
          </w:tcPr>
          <w:p w14:paraId="5370E6A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乙方（公章）：</w:t>
            </w:r>
          </w:p>
        </w:tc>
      </w:tr>
      <w:tr w14:paraId="31A6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4689C887">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78C07108">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c>
          <w:tcPr>
            <w:tcW w:w="4585" w:type="dxa"/>
          </w:tcPr>
          <w:p w14:paraId="09DB12D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法定代表人或授权代表</w:t>
            </w:r>
          </w:p>
          <w:p w14:paraId="2E1C37EF">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（签名）：</w:t>
            </w:r>
          </w:p>
        </w:tc>
      </w:tr>
      <w:tr w14:paraId="26C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1B8CAEC">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c>
          <w:tcPr>
            <w:tcW w:w="4585" w:type="dxa"/>
          </w:tcPr>
          <w:p w14:paraId="2513B890">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电话：</w:t>
            </w:r>
          </w:p>
        </w:tc>
      </w:tr>
      <w:tr w14:paraId="56E6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41E74234">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c>
          <w:tcPr>
            <w:tcW w:w="4585" w:type="dxa"/>
          </w:tcPr>
          <w:p w14:paraId="695EA80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传真：</w:t>
            </w:r>
          </w:p>
        </w:tc>
      </w:tr>
      <w:tr w14:paraId="0DF1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2AA4B35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c>
          <w:tcPr>
            <w:tcW w:w="4585" w:type="dxa"/>
          </w:tcPr>
          <w:p w14:paraId="44D0851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开户银行：</w:t>
            </w:r>
          </w:p>
        </w:tc>
      </w:tr>
      <w:tr w14:paraId="759A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1A8B3E16">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c>
          <w:tcPr>
            <w:tcW w:w="4585" w:type="dxa"/>
          </w:tcPr>
          <w:p w14:paraId="169A411D">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账号：</w:t>
            </w:r>
          </w:p>
        </w:tc>
      </w:tr>
      <w:tr w14:paraId="2EDA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356E8F69">
            <w:pPr>
              <w:widowControl w:val="0"/>
              <w:ind w:firstLine="0" w:firstLineChars="0"/>
              <w:jc w:val="both"/>
              <w:rPr>
                <w:rFonts w:ascii="仿宋_GB2312" w:hAnsi="仿宋_GB2312" w:cs="仿宋_GB2312"/>
                <w:sz w:val="32"/>
                <w:szCs w:val="32"/>
              </w:rPr>
            </w:pPr>
            <w:r>
              <w:rPr>
                <w:rFonts w:hint="eastAsia" w:ascii="仿宋_GB2312" w:hAnsi="仿宋_GB2312" w:cs="仿宋_GB2312"/>
                <w:sz w:val="32"/>
                <w:szCs w:val="32"/>
              </w:rPr>
              <w:t>签订日期：    年   月   日</w:t>
            </w:r>
          </w:p>
        </w:tc>
      </w:tr>
    </w:tbl>
    <w:p w14:paraId="2401D7EA">
      <w:pPr>
        <w:pStyle w:val="10"/>
        <w:widowControl w:val="0"/>
        <w:spacing w:before="0" w:beforeAutospacing="0" w:after="0" w:afterAutospacing="0"/>
        <w:ind w:firstLine="0" w:firstLineChars="0"/>
        <w:jc w:val="both"/>
        <w:rPr>
          <w:rFonts w:ascii="仿宋_GB2312" w:hAnsi="仿宋_GB2312" w:cs="仿宋_GB2312"/>
          <w:color w:val="000000"/>
          <w:sz w:val="32"/>
          <w:szCs w:val="32"/>
        </w:rPr>
      </w:pPr>
    </w:p>
    <w:p w14:paraId="53E44C78">
      <w:pPr>
        <w:pStyle w:val="10"/>
        <w:widowControl w:val="0"/>
        <w:spacing w:before="0" w:beforeAutospacing="0" w:after="0" w:afterAutospacing="0"/>
        <w:ind w:firstLine="480"/>
        <w:jc w:val="both"/>
        <w:rPr>
          <w:rFonts w:ascii="宋体" w:hAnsi="宋体" w:cs="宋体"/>
          <w:color w:val="000000"/>
        </w:rPr>
      </w:pPr>
    </w:p>
    <w:sectPr>
      <w:footerReference r:id="rId5" w:type="default"/>
      <w:pgSz w:w="11895" w:h="16845"/>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45750">
    <w:pPr>
      <w:ind w:firstLine="48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FEC6F">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FFEC6F">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3YmQ4NWQ1NzgyMjUwZDRkMTc0ZWIzMTI4NDJiYWMifQ=="/>
    <w:docVar w:name="KSO_WPS_MARK_KEY" w:val="cc7ae280-9e7f-4c0f-8e65-1c785ffe0118"/>
  </w:docVars>
  <w:rsids>
    <w:rsidRoot w:val="006C3C4A"/>
    <w:rsid w:val="006C3C4A"/>
    <w:rsid w:val="009B2935"/>
    <w:rsid w:val="00B257ED"/>
    <w:rsid w:val="06522598"/>
    <w:rsid w:val="0D067277"/>
    <w:rsid w:val="129C35C3"/>
    <w:rsid w:val="1578662C"/>
    <w:rsid w:val="168453DE"/>
    <w:rsid w:val="188E5814"/>
    <w:rsid w:val="1C18782E"/>
    <w:rsid w:val="1C50581A"/>
    <w:rsid w:val="20F36B91"/>
    <w:rsid w:val="22883B1E"/>
    <w:rsid w:val="2980149B"/>
    <w:rsid w:val="31C17D6A"/>
    <w:rsid w:val="32B114BB"/>
    <w:rsid w:val="386B3826"/>
    <w:rsid w:val="41F02331"/>
    <w:rsid w:val="4274258B"/>
    <w:rsid w:val="476D68D3"/>
    <w:rsid w:val="48A72C1A"/>
    <w:rsid w:val="48D9656D"/>
    <w:rsid w:val="4D945ADE"/>
    <w:rsid w:val="54BC65C4"/>
    <w:rsid w:val="5C3E70EF"/>
    <w:rsid w:val="65780A9F"/>
    <w:rsid w:val="6A9C4677"/>
    <w:rsid w:val="6CA80430"/>
    <w:rsid w:val="6EC616ED"/>
    <w:rsid w:val="74154289"/>
    <w:rsid w:val="74B93933"/>
    <w:rsid w:val="7823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880" w:firstLineChars="200"/>
    </w:pPr>
    <w:rPr>
      <w:rFonts w:ascii="Times New Roman" w:hAnsi="Times New Roman" w:eastAsia="仿宋_GB2312" w:cs="Times New Roman"/>
      <w:sz w:val="24"/>
      <w:lang w:val="en-US" w:eastAsia="zh-CN" w:bidi="ar-SA"/>
    </w:rPr>
  </w:style>
  <w:style w:type="paragraph" w:styleId="5">
    <w:name w:val="heading 1"/>
    <w:basedOn w:val="1"/>
    <w:next w:val="1"/>
    <w:qFormat/>
    <w:uiPriority w:val="9"/>
    <w:pPr>
      <w:keepLines/>
      <w:ind w:firstLine="0" w:firstLineChars="0"/>
      <w:jc w:val="center"/>
      <w:outlineLvl w:val="0"/>
    </w:pPr>
    <w:rPr>
      <w:b/>
      <w:color w:val="000000"/>
      <w:sz w:val="36"/>
    </w:rPr>
  </w:style>
  <w:style w:type="paragraph" w:styleId="6">
    <w:name w:val="heading 3"/>
    <w:basedOn w:val="1"/>
    <w:next w:val="1"/>
    <w:qFormat/>
    <w:uiPriority w:val="9"/>
    <w:pPr>
      <w:keepLines/>
      <w:outlineLvl w:val="2"/>
    </w:pPr>
    <w:rPr>
      <w:rFonts w:eastAsia="黑体"/>
      <w:color w:val="000000"/>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4"/>
    <w:qFormat/>
    <w:uiPriority w:val="0"/>
    <w:rPr>
      <w:rFonts w:ascii="Calibri" w:hAnsi="Calibri"/>
      <w:szCs w:val="22"/>
    </w:rPr>
  </w:style>
  <w:style w:type="paragraph" w:styleId="3">
    <w:name w:val="Plain Text"/>
    <w:basedOn w:val="1"/>
    <w:qFormat/>
    <w:uiPriority w:val="0"/>
    <w:rPr>
      <w:rFonts w:ascii="宋体" w:hAnsi="Courier New"/>
      <w:szCs w:val="21"/>
    </w:rPr>
  </w:style>
  <w:style w:type="paragraph" w:customStyle="1" w:styleId="4">
    <w:name w:val="纯文本1"/>
    <w:basedOn w:val="1"/>
    <w:qFormat/>
    <w:uiPriority w:val="0"/>
    <w:rPr>
      <w:rFonts w:ascii="宋体" w:hAnsi="Courier New" w:cs="Courier New"/>
      <w:szCs w:val="21"/>
    </w:rPr>
  </w:style>
  <w:style w:type="paragraph" w:styleId="7">
    <w:name w:val="Body Text"/>
    <w:basedOn w:val="1"/>
    <w:qFormat/>
    <w:uiPriority w:val="1"/>
    <w:pPr>
      <w:ind w:left="516"/>
    </w:pPr>
    <w:rPr>
      <w:rFonts w:ascii="宋体" w:hAnsi="宋体" w:eastAsia="宋体"/>
      <w:sz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Normal (Web)"/>
    <w:basedOn w:val="1"/>
    <w:qFormat/>
    <w:uiPriority w:val="99"/>
    <w:pPr>
      <w:spacing w:before="100" w:beforeAutospacing="1" w:after="100" w:afterAutospacing="1"/>
    </w:pPr>
  </w:style>
  <w:style w:type="table" w:customStyle="1" w:styleId="13">
    <w:name w:val="Table Normal1"/>
    <w:qFormat/>
    <w:uiPriority w:val="59"/>
    <w:tblPr>
      <w:tblCellMar>
        <w:top w:w="0" w:type="dxa"/>
        <w:left w:w="108" w:type="dxa"/>
        <w:bottom w:w="0" w:type="dxa"/>
        <w:right w:w="108" w:type="dxa"/>
      </w:tblCellMar>
    </w:tblPr>
  </w:style>
  <w:style w:type="paragraph" w:customStyle="1" w:styleId="14">
    <w:name w:val="font-fangsong *"/>
    <w:basedOn w:val="1"/>
    <w:qFormat/>
    <w:uiPriority w:val="0"/>
    <w:pPr>
      <w:spacing w:before="100" w:beforeAutospacing="1" w:after="100" w:afterAutospacing="1"/>
    </w:pPr>
    <w:rPr>
      <w:rFonts w:ascii="Simfang" w:hAnsi="Simfang" w:cs="Simfang"/>
    </w:rPr>
  </w:style>
  <w:style w:type="paragraph" w:customStyle="1" w:styleId="15">
    <w:name w:val="font-song *"/>
    <w:basedOn w:val="1"/>
    <w:qFormat/>
    <w:uiPriority w:val="0"/>
    <w:pPr>
      <w:spacing w:before="100" w:beforeAutospacing="1" w:after="100" w:afterAutospacing="1"/>
    </w:pPr>
    <w:rPr>
      <w:rFonts w:ascii="宋体" w:hAnsi="宋体" w:cs="宋体"/>
    </w:rPr>
  </w:style>
  <w:style w:type="paragraph" w:customStyle="1" w:styleId="16">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1932</Words>
  <Characters>2012</Characters>
  <Lines>19</Lines>
  <Paragraphs>5</Paragraphs>
  <TotalTime>0</TotalTime>
  <ScaleCrop>false</ScaleCrop>
  <LinksUpToDate>false</LinksUpToDate>
  <CharactersWithSpaces>2609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2024-04-28T06:37:00Z</dcterms:created>
  <dc:creator>法天使</dc:creator>
  <cp:lastModifiedBy>wayne wang</cp:lastModifiedBy>
  <cp:lastPrinted>2024-05-17T02:38:00Z</cp:lastPrinted>
  <dcterms:modified xsi:type="dcterms:W3CDTF">2025-07-15T12:51:52Z</dcterms:modified>
  <dc:title>一般商品买卖合同（简单版）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FB6F2E51401E4B9B9A6709B4ADC71EFC</vt:lpwstr>
  </property>
  <property fmtid="{D5CDD505-2E9C-101B-9397-08002B2CF9AE}" pid="4" name="KSOTemplateDocerSaveRecord">
    <vt:lpwstr>eyJoZGlkIjoiMmQ3YWU2YjUwZjFlMjNmYzhkNmM2YTlmMzM1Y2ZkNWIiLCJ1c2VySWQiOiI0NTY4NzU1NDcifQ==</vt:lpwstr>
  </property>
</Properties>
</file>