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CAF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bookmarkStart w:id="0" w:name="_GoBack"/>
      <w:r>
        <w:rPr>
          <w:rFonts w:hint="eastAsia" w:ascii="方正小标宋简体" w:hAnsi="方正小标宋简体" w:eastAsia="方正小标宋简体" w:cs="方正小标宋简体"/>
          <w:sz w:val="44"/>
          <w:szCs w:val="44"/>
          <w:highlight w:val="none"/>
          <w:lang w:val="en-US" w:eastAsia="zh-CN"/>
        </w:rPr>
        <w:t>龙华区福龙和布龙路清扫保洁项目租用北斗智能手环</w:t>
      </w:r>
      <w:r>
        <w:rPr>
          <w:rFonts w:hint="eastAsia" w:ascii="方正小标宋简体" w:hAnsi="方正小标宋简体" w:eastAsia="方正小标宋简体" w:cs="方正小标宋简体"/>
          <w:sz w:val="44"/>
          <w:szCs w:val="44"/>
          <w:highlight w:val="none"/>
        </w:rPr>
        <w:t>公开遴选</w:t>
      </w:r>
      <w:r>
        <w:rPr>
          <w:rFonts w:hint="eastAsia" w:ascii="方正小标宋简体" w:hAnsi="方正小标宋简体" w:eastAsia="方正小标宋简体" w:cs="方正小标宋简体"/>
          <w:sz w:val="44"/>
          <w:szCs w:val="44"/>
          <w:highlight w:val="none"/>
          <w:lang w:val="en-US" w:eastAsia="zh-CN"/>
        </w:rPr>
        <w:t>方案</w:t>
      </w:r>
    </w:p>
    <w:bookmarkEnd w:id="0"/>
    <w:p w14:paraId="5379344C">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一、评标细则</w:t>
      </w:r>
    </w:p>
    <w:tbl>
      <w:tblPr>
        <w:tblStyle w:val="10"/>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7"/>
        <w:gridCol w:w="930"/>
        <w:gridCol w:w="90"/>
        <w:gridCol w:w="711"/>
        <w:gridCol w:w="6632"/>
      </w:tblGrid>
      <w:tr w14:paraId="19E0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2" w:type="dxa"/>
            <w:gridSpan w:val="5"/>
            <w:noWrap w:val="0"/>
            <w:vAlign w:val="center"/>
          </w:tcPr>
          <w:p w14:paraId="5AED4C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 w:hAnsi="仿宋" w:eastAsia="仿宋" w:cs="仿宋"/>
                <w:b/>
                <w:bCs/>
                <w:sz w:val="28"/>
                <w:szCs w:val="28"/>
                <w:highlight w:val="none"/>
                <w:lang w:val="en-US" w:eastAsia="zh-CN"/>
              </w:rPr>
              <w:t>价格部分</w:t>
            </w:r>
          </w:p>
        </w:tc>
        <w:tc>
          <w:tcPr>
            <w:tcW w:w="6632" w:type="dxa"/>
            <w:noWrap w:val="0"/>
            <w:vAlign w:val="center"/>
          </w:tcPr>
          <w:p w14:paraId="293300F9">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60" w:lineRule="exact"/>
              <w:ind w:left="0" w:leftChars="0" w:right="0" w:rightChars="0"/>
              <w:jc w:val="center"/>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sz w:val="28"/>
                <w:szCs w:val="28"/>
                <w:highlight w:val="none"/>
                <w:lang w:val="en-US" w:eastAsia="zh-CN"/>
              </w:rPr>
              <w:t>30分</w:t>
            </w:r>
          </w:p>
        </w:tc>
      </w:tr>
      <w:tr w14:paraId="1ED9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42" w:type="dxa"/>
            <w:gridSpan w:val="5"/>
            <w:noWrap w:val="0"/>
            <w:vAlign w:val="center"/>
          </w:tcPr>
          <w:p w14:paraId="3E3A5F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 w:hAnsi="仿宋" w:eastAsia="仿宋" w:cs="仿宋"/>
                <w:b w:val="0"/>
                <w:bCs w:val="0"/>
                <w:sz w:val="28"/>
                <w:szCs w:val="28"/>
                <w:highlight w:val="none"/>
                <w:lang w:val="en-US" w:eastAsia="zh-CN"/>
              </w:rPr>
              <w:t>报价</w:t>
            </w:r>
          </w:p>
        </w:tc>
        <w:tc>
          <w:tcPr>
            <w:tcW w:w="6632" w:type="dxa"/>
            <w:noWrap w:val="0"/>
            <w:vAlign w:val="center"/>
          </w:tcPr>
          <w:p w14:paraId="470EE457">
            <w:pPr>
              <w:pStyle w:val="8"/>
              <w:keepNext w:val="0"/>
              <w:keepLines w:val="0"/>
              <w:pageBreakBefore w:val="0"/>
              <w:suppressLineNumbers w:val="0"/>
              <w:kinsoku/>
              <w:wordWrap/>
              <w:topLinePunct w:val="0"/>
              <w:autoSpaceDE/>
              <w:autoSpaceDN/>
              <w:bidi w:val="0"/>
              <w:spacing w:before="0" w:beforeAutospacing="0" w:after="0" w:afterAutospacing="0" w:line="360" w:lineRule="exact"/>
              <w:ind w:left="0" w:leftChars="0" w:right="0"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价格</w:t>
            </w:r>
            <w:r>
              <w:rPr>
                <w:rFonts w:hint="eastAsia" w:ascii="仿宋" w:hAnsi="仿宋" w:eastAsia="仿宋" w:cs="仿宋"/>
                <w:sz w:val="28"/>
                <w:szCs w:val="28"/>
                <w:highlight w:val="none"/>
              </w:rPr>
              <w:t>标得分=[1-D×│1－投标报价／C│]×价格权重（</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%）×100</w:t>
            </w:r>
          </w:p>
          <w:p w14:paraId="165ECD7C">
            <w:pPr>
              <w:pStyle w:val="8"/>
              <w:keepNext w:val="0"/>
              <w:keepLines w:val="0"/>
              <w:pageBreakBefore w:val="0"/>
              <w:suppressLineNumbers w:val="0"/>
              <w:kinsoku/>
              <w:wordWrap/>
              <w:topLinePunct w:val="0"/>
              <w:autoSpaceDE/>
              <w:autoSpaceDN/>
              <w:bidi w:val="0"/>
              <w:spacing w:before="0" w:beforeAutospacing="0" w:after="0" w:afterAutospacing="0" w:line="360" w:lineRule="exact"/>
              <w:ind w:left="0" w:leftChars="0" w:right="0" w:firstLine="0" w:firstLineChars="0"/>
              <w:jc w:val="left"/>
              <w:textAlignment w:val="auto"/>
              <w:rPr>
                <w:rFonts w:hint="eastAsia" w:ascii="仿宋" w:hAnsi="仿宋" w:eastAsia="仿宋" w:cs="仿宋"/>
                <w:sz w:val="28"/>
                <w:szCs w:val="28"/>
                <w:highlight w:val="none"/>
              </w:rPr>
            </w:pPr>
          </w:p>
          <w:p w14:paraId="513B23AF">
            <w:pPr>
              <w:pStyle w:val="8"/>
              <w:keepNext w:val="0"/>
              <w:keepLines w:val="0"/>
              <w:pageBreakBefore w:val="0"/>
              <w:suppressLineNumbers w:val="0"/>
              <w:kinsoku/>
              <w:wordWrap/>
              <w:topLinePunct w:val="0"/>
              <w:autoSpaceDE/>
              <w:autoSpaceDN/>
              <w:bidi w:val="0"/>
              <w:spacing w:before="0" w:beforeAutospacing="0" w:after="0" w:afterAutospacing="0" w:line="360" w:lineRule="exact"/>
              <w:ind w:left="0" w:leftChars="0" w:right="0"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C---即本次招标的最佳报价，即对所有通过资格性检查和符合性检查且报价不超过预算控制金额的有效投标报价取算术平均值，并将算术平均值</w:t>
            </w:r>
            <w:r>
              <w:rPr>
                <w:rFonts w:hint="eastAsia" w:ascii="仿宋" w:hAnsi="仿宋" w:eastAsia="仿宋" w:cs="仿宋"/>
                <w:sz w:val="28"/>
                <w:szCs w:val="28"/>
                <w:highlight w:val="none"/>
                <w:lang w:val="en-US" w:eastAsia="zh-CN"/>
              </w:rPr>
              <w:t>下浮5%</w:t>
            </w:r>
            <w:r>
              <w:rPr>
                <w:rFonts w:hint="eastAsia" w:ascii="仿宋" w:hAnsi="仿宋" w:eastAsia="仿宋" w:cs="仿宋"/>
                <w:sz w:val="28"/>
                <w:szCs w:val="28"/>
                <w:highlight w:val="none"/>
              </w:rPr>
              <w:t>作为本次招标最佳报价。</w:t>
            </w:r>
          </w:p>
          <w:p w14:paraId="1367D0FD">
            <w:pPr>
              <w:pStyle w:val="8"/>
              <w:keepNext w:val="0"/>
              <w:keepLines w:val="0"/>
              <w:pageBreakBefore w:val="0"/>
              <w:suppressLineNumbers w:val="0"/>
              <w:kinsoku/>
              <w:wordWrap/>
              <w:topLinePunct w:val="0"/>
              <w:autoSpaceDE/>
              <w:autoSpaceDN/>
              <w:bidi w:val="0"/>
              <w:spacing w:before="0" w:beforeAutospacing="0" w:after="0" w:afterAutospacing="0" w:line="360" w:lineRule="exact"/>
              <w:ind w:left="0" w:leftChars="0" w:right="0" w:firstLine="0" w:firstLineChars="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D---价格调整系数，当投标报价低于本次招标最佳报价时，D=0.5；当投标报价高于本次招标最佳报价时，取D=1</w:t>
            </w:r>
            <w:r>
              <w:rPr>
                <w:rFonts w:hint="eastAsia" w:ascii="仿宋" w:hAnsi="仿宋" w:eastAsia="仿宋" w:cs="仿宋"/>
                <w:sz w:val="28"/>
                <w:szCs w:val="28"/>
                <w:highlight w:val="none"/>
                <w:lang w:eastAsia="zh-CN"/>
              </w:rPr>
              <w:t>。</w:t>
            </w:r>
          </w:p>
          <w:p w14:paraId="0551E682">
            <w:pPr>
              <w:pStyle w:val="8"/>
              <w:keepNext w:val="0"/>
              <w:keepLines w:val="0"/>
              <w:pageBreakBefore w:val="0"/>
              <w:suppressLineNumbers w:val="0"/>
              <w:kinsoku/>
              <w:wordWrap/>
              <w:topLinePunct w:val="0"/>
              <w:autoSpaceDE/>
              <w:autoSpaceDN/>
              <w:bidi w:val="0"/>
              <w:spacing w:before="0" w:beforeAutospacing="0" w:after="0" w:afterAutospacing="0" w:line="360" w:lineRule="exact"/>
              <w:ind w:left="0" w:leftChars="0" w:right="0" w:firstLine="0" w:firstLineChars="0"/>
              <w:jc w:val="left"/>
              <w:textAlignment w:val="auto"/>
              <w:rPr>
                <w:rFonts w:hint="eastAsia" w:ascii="仿宋" w:hAnsi="仿宋" w:eastAsia="仿宋" w:cs="仿宋"/>
                <w:sz w:val="28"/>
                <w:szCs w:val="28"/>
                <w:highlight w:val="none"/>
                <w:lang w:eastAsia="zh-CN"/>
              </w:rPr>
            </w:pPr>
          </w:p>
          <w:p w14:paraId="5F1CDA5B">
            <w:pPr>
              <w:keepNext w:val="0"/>
              <w:keepLines w:val="0"/>
              <w:pageBreakBefore w:val="0"/>
              <w:widowControl/>
              <w:suppressLineNumbers w:val="0"/>
              <w:kinsoku/>
              <w:wordWrap/>
              <w:overflowPunct w:val="0"/>
              <w:topLinePunct w:val="0"/>
              <w:autoSpaceDE/>
              <w:autoSpaceDN/>
              <w:bidi w:val="0"/>
              <w:adjustRightInd w:val="0"/>
              <w:snapToGrid w:val="0"/>
              <w:spacing w:before="0" w:beforeAutospacing="0" w:afterAutospacing="0" w:line="360" w:lineRule="exact"/>
              <w:ind w:left="0" w:leftChars="0" w:right="0" w:rightChars="0"/>
              <w:jc w:val="left"/>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sz w:val="28"/>
                <w:szCs w:val="28"/>
                <w:highlight w:val="none"/>
              </w:rPr>
              <w:t>当</w:t>
            </w:r>
            <w:r>
              <w:rPr>
                <w:rFonts w:hint="eastAsia" w:ascii="仿宋" w:hAnsi="仿宋" w:eastAsia="仿宋" w:cs="仿宋"/>
                <w:sz w:val="28"/>
                <w:szCs w:val="28"/>
                <w:highlight w:val="none"/>
                <w:lang w:eastAsia="zh-CN"/>
              </w:rPr>
              <w:t>价格</w:t>
            </w:r>
            <w:r>
              <w:rPr>
                <w:rFonts w:hint="eastAsia" w:ascii="仿宋" w:hAnsi="仿宋" w:eastAsia="仿宋" w:cs="仿宋"/>
                <w:sz w:val="28"/>
                <w:szCs w:val="28"/>
                <w:highlight w:val="none"/>
              </w:rPr>
              <w:t>标得分＜0时，取0。</w:t>
            </w:r>
          </w:p>
        </w:tc>
      </w:tr>
      <w:tr w14:paraId="0195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42" w:type="dxa"/>
            <w:gridSpan w:val="5"/>
            <w:shd w:val="clear" w:color="auto" w:fill="auto"/>
            <w:noWrap w:val="0"/>
            <w:vAlign w:val="center"/>
          </w:tcPr>
          <w:p w14:paraId="332AD4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 w:hAnsi="仿宋" w:eastAsia="仿宋" w:cs="仿宋"/>
                <w:b/>
                <w:bCs/>
                <w:sz w:val="28"/>
                <w:szCs w:val="28"/>
                <w:highlight w:val="none"/>
                <w:lang w:val="en-US" w:eastAsia="zh-CN"/>
              </w:rPr>
              <w:t>商务部分</w:t>
            </w:r>
          </w:p>
        </w:tc>
        <w:tc>
          <w:tcPr>
            <w:tcW w:w="6632" w:type="dxa"/>
            <w:shd w:val="clear" w:color="auto" w:fill="auto"/>
            <w:noWrap w:val="0"/>
            <w:vAlign w:val="center"/>
          </w:tcPr>
          <w:p w14:paraId="705038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32"/>
                <w:szCs w:val="32"/>
                <w:highlight w:val="none"/>
                <w:vertAlign w:val="baseline"/>
                <w:lang w:val="en-US" w:eastAsia="zh-CN" w:bidi="ar-SA"/>
              </w:rPr>
            </w:pPr>
            <w:r>
              <w:rPr>
                <w:rFonts w:hint="eastAsia" w:ascii="仿宋" w:hAnsi="仿宋" w:eastAsia="仿宋" w:cs="仿宋"/>
                <w:b/>
                <w:bCs/>
                <w:sz w:val="28"/>
                <w:szCs w:val="28"/>
                <w:highlight w:val="none"/>
                <w:lang w:val="en-US" w:eastAsia="zh-CN"/>
              </w:rPr>
              <w:t>31分</w:t>
            </w:r>
          </w:p>
        </w:tc>
      </w:tr>
      <w:tr w14:paraId="340C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noWrap w:val="0"/>
            <w:vAlign w:val="center"/>
          </w:tcPr>
          <w:p w14:paraId="19C230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1097" w:type="dxa"/>
            <w:gridSpan w:val="3"/>
            <w:noWrap w:val="0"/>
            <w:vAlign w:val="center"/>
          </w:tcPr>
          <w:p w14:paraId="562411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评分内容</w:t>
            </w:r>
          </w:p>
        </w:tc>
        <w:tc>
          <w:tcPr>
            <w:tcW w:w="711" w:type="dxa"/>
            <w:noWrap w:val="0"/>
            <w:vAlign w:val="center"/>
          </w:tcPr>
          <w:p w14:paraId="2E020B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权重（%）</w:t>
            </w:r>
          </w:p>
        </w:tc>
        <w:tc>
          <w:tcPr>
            <w:tcW w:w="6632" w:type="dxa"/>
            <w:noWrap w:val="0"/>
            <w:vAlign w:val="center"/>
          </w:tcPr>
          <w:p w14:paraId="2E25E7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评分细则</w:t>
            </w:r>
          </w:p>
        </w:tc>
      </w:tr>
      <w:tr w14:paraId="252C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634" w:type="dxa"/>
            <w:noWrap w:val="0"/>
            <w:vAlign w:val="center"/>
          </w:tcPr>
          <w:p w14:paraId="71CD2E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1097" w:type="dxa"/>
            <w:gridSpan w:val="3"/>
            <w:noWrap w:val="0"/>
            <w:vAlign w:val="center"/>
          </w:tcPr>
          <w:p w14:paraId="088595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bCs/>
                <w:snapToGrid w:val="0"/>
                <w:color w:val="auto"/>
                <w:sz w:val="24"/>
                <w:highlight w:val="none"/>
                <w:lang w:val="en-US" w:eastAsia="zh-CN"/>
              </w:rPr>
              <w:t>企业综合实力</w:t>
            </w:r>
          </w:p>
        </w:tc>
        <w:tc>
          <w:tcPr>
            <w:tcW w:w="711" w:type="dxa"/>
            <w:noWrap w:val="0"/>
            <w:vAlign w:val="center"/>
          </w:tcPr>
          <w:p w14:paraId="3872AD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5分</w:t>
            </w:r>
          </w:p>
        </w:tc>
        <w:tc>
          <w:tcPr>
            <w:tcW w:w="6632" w:type="dxa"/>
            <w:noWrap w:val="0"/>
            <w:vAlign w:val="center"/>
          </w:tcPr>
          <w:p w14:paraId="5067776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kern w:val="2"/>
                <w:sz w:val="24"/>
                <w:szCs w:val="24"/>
                <w:vertAlign w:val="baseline"/>
                <w:lang w:val="en-US" w:eastAsia="zh-CN" w:bidi="ar-SA"/>
              </w:rPr>
              <w:t>一、</w:t>
            </w:r>
            <w:r>
              <w:rPr>
                <w:rFonts w:hint="eastAsia" w:ascii="仿宋_GB2312" w:hAnsi="仿宋_GB2312" w:eastAsia="仿宋_GB2312" w:cs="仿宋_GB2312"/>
                <w:b/>
                <w:bCs/>
                <w:sz w:val="24"/>
                <w:szCs w:val="24"/>
                <w:highlight w:val="none"/>
                <w:vertAlign w:val="baseline"/>
                <w:lang w:val="en-US" w:eastAsia="zh-CN"/>
              </w:rPr>
              <w:t>评分内容：</w:t>
            </w:r>
          </w:p>
          <w:p w14:paraId="0B192FFD">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投标企业通过：</w:t>
            </w:r>
          </w:p>
          <w:p w14:paraId="10F4984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w:t>
            </w:r>
            <w:r>
              <w:rPr>
                <w:rFonts w:hint="eastAsia" w:ascii="仿宋_GB2312" w:hAnsi="仿宋_GB2312" w:eastAsia="仿宋_GB2312" w:cs="仿宋_GB2312"/>
                <w:kern w:val="2"/>
                <w:sz w:val="24"/>
                <w:szCs w:val="24"/>
                <w:highlight w:val="none"/>
                <w:vertAlign w:val="baseline"/>
                <w:lang w:val="en-US" w:eastAsia="zh-CN" w:bidi="ar-SA"/>
              </w:rPr>
              <w:t>ISO质量管理体系认证；</w:t>
            </w:r>
          </w:p>
          <w:p w14:paraId="24E0662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w:t>
            </w:r>
            <w:r>
              <w:rPr>
                <w:rFonts w:hint="eastAsia" w:ascii="仿宋_GB2312" w:hAnsi="仿宋_GB2312" w:eastAsia="仿宋_GB2312" w:cs="仿宋_GB2312"/>
                <w:kern w:val="2"/>
                <w:sz w:val="24"/>
                <w:szCs w:val="24"/>
                <w:highlight w:val="none"/>
                <w:vertAlign w:val="baseline"/>
                <w:lang w:val="en-US" w:eastAsia="zh-CN" w:bidi="ar-SA"/>
              </w:rPr>
              <w:t>ISO环境管理体系认证；</w:t>
            </w:r>
          </w:p>
          <w:p w14:paraId="0AF19B5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w:t>
            </w:r>
            <w:r>
              <w:rPr>
                <w:rFonts w:hint="eastAsia" w:ascii="仿宋_GB2312" w:hAnsi="仿宋_GB2312" w:eastAsia="仿宋_GB2312" w:cs="仿宋_GB2312"/>
                <w:kern w:val="2"/>
                <w:sz w:val="24"/>
                <w:szCs w:val="24"/>
                <w:highlight w:val="none"/>
                <w:vertAlign w:val="baseline"/>
                <w:lang w:val="en-US" w:eastAsia="zh-CN" w:bidi="ar-SA"/>
              </w:rPr>
              <w:t>ISO职业健康安全管理体系认证；</w:t>
            </w:r>
          </w:p>
          <w:p w14:paraId="63488E8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bCs/>
                <w:snapToGrid w:val="0"/>
                <w:color w:val="auto"/>
                <w:sz w:val="24"/>
                <w:highlight w:val="none"/>
                <w:lang w:eastAsia="zh-CN"/>
              </w:rPr>
            </w:pPr>
            <w:r>
              <w:rPr>
                <w:rFonts w:hint="eastAsia" w:ascii="仿宋_GB2312" w:hAnsi="仿宋_GB2312" w:eastAsia="仿宋_GB2312" w:cs="仿宋_GB2312"/>
                <w:kern w:val="2"/>
                <w:sz w:val="24"/>
                <w:szCs w:val="24"/>
                <w:highlight w:val="none"/>
                <w:vertAlign w:val="baseline"/>
                <w:lang w:val="en-US" w:eastAsia="zh-CN" w:bidi="ar-SA"/>
              </w:rPr>
              <w:t>4.</w:t>
            </w:r>
            <w:r>
              <w:rPr>
                <w:rFonts w:hint="eastAsia" w:ascii="仿宋_GB2312" w:hAnsi="仿宋_GB2312" w:eastAsia="仿宋_GB2312" w:cs="仿宋_GB2312"/>
                <w:bCs/>
                <w:snapToGrid w:val="0"/>
                <w:color w:val="auto"/>
                <w:sz w:val="24"/>
                <w:highlight w:val="none"/>
              </w:rPr>
              <w:t>具有国家高新技术企业认定证书</w:t>
            </w:r>
            <w:r>
              <w:rPr>
                <w:rFonts w:hint="eastAsia" w:ascii="仿宋_GB2312" w:hAnsi="仿宋_GB2312" w:eastAsia="仿宋_GB2312" w:cs="仿宋_GB2312"/>
                <w:bCs/>
                <w:snapToGrid w:val="0"/>
                <w:color w:val="auto"/>
                <w:sz w:val="24"/>
                <w:highlight w:val="none"/>
                <w:lang w:eastAsia="zh-CN"/>
              </w:rPr>
              <w:t>；</w:t>
            </w:r>
          </w:p>
          <w:p w14:paraId="386714E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bCs/>
                <w:snapToGrid w:val="0"/>
                <w:color w:val="auto"/>
                <w:sz w:val="24"/>
                <w:highlight w:val="none"/>
                <w:lang w:val="en-US" w:eastAsia="zh-CN"/>
              </w:rPr>
              <w:t>5.</w:t>
            </w:r>
            <w:r>
              <w:rPr>
                <w:rFonts w:hint="eastAsia" w:ascii="仿宋_GB2312" w:hAnsi="仿宋_GB2312" w:eastAsia="仿宋_GB2312" w:cs="仿宋_GB2312"/>
                <w:bCs/>
                <w:snapToGrid w:val="0"/>
                <w:color w:val="auto"/>
                <w:sz w:val="24"/>
                <w:highlight w:val="none"/>
              </w:rPr>
              <w:t>信息系统建设和服务能力等级证书</w:t>
            </w:r>
            <w:r>
              <w:rPr>
                <w:rFonts w:hint="eastAsia" w:ascii="仿宋_GB2312" w:hAnsi="仿宋_GB2312" w:eastAsia="仿宋_GB2312" w:cs="仿宋_GB2312"/>
                <w:bCs/>
                <w:snapToGrid w:val="0"/>
                <w:color w:val="auto"/>
                <w:sz w:val="24"/>
                <w:highlight w:val="none"/>
                <w:lang w:eastAsia="zh-CN"/>
              </w:rPr>
              <w:t>。</w:t>
            </w:r>
            <w:r>
              <w:rPr>
                <w:rFonts w:hint="eastAsia" w:ascii="仿宋_GB2312" w:hAnsi="仿宋_GB2312" w:eastAsia="仿宋_GB2312" w:cs="仿宋_GB2312"/>
                <w:kern w:val="2"/>
                <w:sz w:val="24"/>
                <w:szCs w:val="24"/>
                <w:highlight w:val="none"/>
                <w:vertAlign w:val="baseline"/>
                <w:lang w:val="en-US" w:eastAsia="zh-CN" w:bidi="ar-SA"/>
              </w:rPr>
              <w:br w:type="textWrapping"/>
            </w:r>
            <w:r>
              <w:rPr>
                <w:rFonts w:hint="eastAsia" w:ascii="仿宋_GB2312" w:hAnsi="仿宋_GB2312" w:eastAsia="仿宋_GB2312" w:cs="仿宋_GB2312"/>
                <w:kern w:val="2"/>
                <w:sz w:val="24"/>
                <w:szCs w:val="24"/>
                <w:highlight w:val="none"/>
                <w:vertAlign w:val="baseline"/>
                <w:lang w:val="en-US" w:eastAsia="zh-CN" w:bidi="ar-SA"/>
              </w:rPr>
              <w:t xml:space="preserve">    每提供一项证书得1分，以上证书全部提供得5分；（须提供清晰扫描件附于投标文件并加盖投标人的公章，否则不得分）。</w:t>
            </w:r>
          </w:p>
          <w:p w14:paraId="0C9B122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二、评分依据：</w:t>
            </w:r>
          </w:p>
          <w:p w14:paraId="264B5FC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投标人须提供有效的清晰扫描件附于投标文件并加盖投标人的公章。</w:t>
            </w:r>
          </w:p>
        </w:tc>
      </w:tr>
      <w:tr w14:paraId="0012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noWrap w:val="0"/>
            <w:vAlign w:val="center"/>
          </w:tcPr>
          <w:p w14:paraId="64E555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c>
          <w:tcPr>
            <w:tcW w:w="1097" w:type="dxa"/>
            <w:gridSpan w:val="3"/>
            <w:noWrap w:val="0"/>
            <w:vAlign w:val="center"/>
          </w:tcPr>
          <w:p w14:paraId="361FED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_GB2312" w:hAnsi="仿宋_GB2312" w:eastAsia="仿宋_GB2312" w:cs="仿宋_GB2312"/>
                <w:bCs/>
                <w:snapToGrid w:val="0"/>
                <w:color w:val="auto"/>
                <w:sz w:val="24"/>
                <w:highlight w:val="none"/>
                <w:lang w:val="en-US" w:eastAsia="zh-CN"/>
              </w:rPr>
              <w:t>同类</w:t>
            </w:r>
            <w:r>
              <w:rPr>
                <w:rFonts w:hint="eastAsia" w:ascii="仿宋_GB2312" w:hAnsi="仿宋_GB2312" w:eastAsia="仿宋_GB2312" w:cs="仿宋_GB2312"/>
                <w:bCs/>
                <w:snapToGrid w:val="0"/>
                <w:color w:val="auto"/>
                <w:sz w:val="24"/>
                <w:highlight w:val="none"/>
              </w:rPr>
              <w:t>业绩</w:t>
            </w:r>
          </w:p>
        </w:tc>
        <w:tc>
          <w:tcPr>
            <w:tcW w:w="711" w:type="dxa"/>
            <w:noWrap w:val="0"/>
            <w:vAlign w:val="center"/>
          </w:tcPr>
          <w:p w14:paraId="08AF70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10分</w:t>
            </w:r>
          </w:p>
        </w:tc>
        <w:tc>
          <w:tcPr>
            <w:tcW w:w="6632" w:type="dxa"/>
            <w:noWrap w:val="0"/>
            <w:vAlign w:val="center"/>
          </w:tcPr>
          <w:p w14:paraId="12D9FDA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一、评分内容：</w:t>
            </w:r>
          </w:p>
          <w:p w14:paraId="186CE26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投标人近三年内（自2022年7月1日至投标截止日，以合同签订时间为准）承担过同类项目业绩（同类项目是指本项目相关的智能手环租用、销售或服务合同），以客户为单位，每提供1个服务客户单位业绩案例得2分，本项满分得10分，有效合同业绩需提供5项，超过5项的只取前5项。</w:t>
            </w:r>
            <w:r>
              <w:rPr>
                <w:rFonts w:hint="eastAsia" w:ascii="仿宋_GB2312" w:hAnsi="仿宋_GB2312" w:eastAsia="仿宋_GB2312" w:cs="仿宋_GB2312"/>
                <w:sz w:val="24"/>
                <w:szCs w:val="24"/>
                <w:highlight w:val="none"/>
                <w:vertAlign w:val="baseline"/>
                <w:lang w:val="en-US" w:eastAsia="zh-CN"/>
              </w:rPr>
              <w:br w:type="textWrapping"/>
            </w:r>
            <w:r>
              <w:rPr>
                <w:rFonts w:hint="eastAsia" w:ascii="仿宋_GB2312" w:hAnsi="仿宋_GB2312" w:eastAsia="仿宋_GB2312" w:cs="仿宋_GB2312"/>
                <w:b/>
                <w:bCs/>
                <w:kern w:val="2"/>
                <w:sz w:val="24"/>
                <w:szCs w:val="24"/>
                <w:highlight w:val="none"/>
                <w:vertAlign w:val="baseline"/>
                <w:lang w:val="en-US" w:eastAsia="zh-CN" w:bidi="ar-SA"/>
              </w:rPr>
              <w:t>二、</w:t>
            </w:r>
            <w:r>
              <w:rPr>
                <w:rFonts w:hint="eastAsia" w:ascii="仿宋_GB2312" w:hAnsi="仿宋_GB2312" w:eastAsia="仿宋_GB2312" w:cs="仿宋_GB2312"/>
                <w:b/>
                <w:bCs/>
                <w:sz w:val="24"/>
                <w:szCs w:val="24"/>
                <w:highlight w:val="none"/>
                <w:vertAlign w:val="baseline"/>
                <w:lang w:val="en-US" w:eastAsia="zh-CN"/>
              </w:rPr>
              <w:t>评分依据：</w:t>
            </w:r>
          </w:p>
          <w:p w14:paraId="0C03316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仿宋" w:hAnsi="仿宋" w:eastAsia="仿宋" w:cs="仿宋"/>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同类业绩证明文件是合同复印件以及该合同对应开具的任一发票，合同可以复印合同的关键页面（含签订合同双方的单位名称、合同项目名称、采购的内容、签订合同双方的落款盖章及时间），投标人无提供这些证明文件不得分。</w:t>
            </w:r>
          </w:p>
        </w:tc>
      </w:tr>
      <w:tr w14:paraId="6B23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shd w:val="clear" w:color="auto" w:fill="auto"/>
            <w:noWrap w:val="0"/>
            <w:vAlign w:val="center"/>
          </w:tcPr>
          <w:p w14:paraId="0ED7A3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3</w:t>
            </w:r>
          </w:p>
        </w:tc>
        <w:tc>
          <w:tcPr>
            <w:tcW w:w="1097" w:type="dxa"/>
            <w:gridSpan w:val="3"/>
            <w:shd w:val="clear" w:color="auto" w:fill="auto"/>
            <w:noWrap w:val="0"/>
            <w:vAlign w:val="center"/>
          </w:tcPr>
          <w:p w14:paraId="2D9082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bCs/>
                <w:snapToGrid w:val="0"/>
                <w:color w:val="auto"/>
                <w:sz w:val="24"/>
                <w:highlight w:val="none"/>
                <w:lang w:val="en-US" w:eastAsia="zh-CN"/>
              </w:rPr>
              <w:t>应急服务方案</w:t>
            </w:r>
          </w:p>
        </w:tc>
        <w:tc>
          <w:tcPr>
            <w:tcW w:w="711" w:type="dxa"/>
            <w:shd w:val="clear" w:color="auto" w:fill="auto"/>
            <w:noWrap w:val="0"/>
            <w:vAlign w:val="center"/>
          </w:tcPr>
          <w:p w14:paraId="1EE634D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6分</w:t>
            </w:r>
          </w:p>
        </w:tc>
        <w:tc>
          <w:tcPr>
            <w:tcW w:w="6632" w:type="dxa"/>
            <w:shd w:val="clear" w:color="auto" w:fill="auto"/>
            <w:noWrap w:val="0"/>
            <w:vAlign w:val="center"/>
          </w:tcPr>
          <w:p w14:paraId="1CF3579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一、评分内容：</w:t>
            </w:r>
          </w:p>
          <w:p w14:paraId="6F74F78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针对城市管家履约监管以及市考核要求，提供系统数据稳定的应急服务，并承诺做到；</w:t>
            </w:r>
          </w:p>
          <w:p w14:paraId="6C31323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1.1小时响应，2小时到达现场，12小时进行维修或更换，得6分：</w:t>
            </w:r>
          </w:p>
          <w:p w14:paraId="75BFC87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2.2小时响应，4小时到达现场，24小时进行维修或更换，得4分；</w:t>
            </w:r>
          </w:p>
          <w:p w14:paraId="5B5DC01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3.3小时响应，6小时到达现场，36小时进行维修或更换，得2分；</w:t>
            </w:r>
          </w:p>
          <w:p w14:paraId="753E3D7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不可累计得分，本项最高得6分</w:t>
            </w:r>
          </w:p>
          <w:p w14:paraId="61D6805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二、评分依据：</w:t>
            </w:r>
          </w:p>
          <w:p w14:paraId="2A696B9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仿宋" w:hAnsi="仿宋" w:eastAsia="仿宋" w:cs="仿宋"/>
                <w:kern w:val="2"/>
                <w:sz w:val="21"/>
                <w:szCs w:val="24"/>
                <w:highlight w:val="none"/>
                <w:lang w:val="en-US" w:eastAsia="zh-CN" w:bidi="ar-SA"/>
              </w:rPr>
            </w:pPr>
            <w:r>
              <w:rPr>
                <w:rFonts w:hint="eastAsia" w:ascii="仿宋_GB2312" w:hAnsi="仿宋_GB2312" w:eastAsia="仿宋_GB2312" w:cs="仿宋_GB2312"/>
                <w:sz w:val="24"/>
                <w:szCs w:val="24"/>
                <w:highlight w:val="none"/>
                <w:vertAlign w:val="baseline"/>
                <w:lang w:val="en-US" w:eastAsia="zh-CN"/>
              </w:rPr>
              <w:t>格式自拟。</w:t>
            </w:r>
          </w:p>
        </w:tc>
      </w:tr>
      <w:tr w14:paraId="3DFA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shd w:val="clear" w:color="auto" w:fill="auto"/>
            <w:noWrap w:val="0"/>
            <w:vAlign w:val="center"/>
          </w:tcPr>
          <w:p w14:paraId="3C7A38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4</w:t>
            </w:r>
          </w:p>
        </w:tc>
        <w:tc>
          <w:tcPr>
            <w:tcW w:w="1097" w:type="dxa"/>
            <w:gridSpan w:val="3"/>
            <w:shd w:val="clear" w:color="auto" w:fill="auto"/>
            <w:noWrap w:val="0"/>
            <w:vAlign w:val="center"/>
          </w:tcPr>
          <w:p w14:paraId="28E490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bCs/>
                <w:snapToGrid w:val="0"/>
                <w:color w:val="auto"/>
                <w:sz w:val="24"/>
                <w:highlight w:val="none"/>
                <w:lang w:val="en-US" w:eastAsia="zh-CN"/>
              </w:rPr>
              <w:t>运维服务方案</w:t>
            </w:r>
          </w:p>
        </w:tc>
        <w:tc>
          <w:tcPr>
            <w:tcW w:w="711" w:type="dxa"/>
            <w:shd w:val="clear" w:color="auto" w:fill="auto"/>
            <w:noWrap w:val="0"/>
            <w:vAlign w:val="center"/>
          </w:tcPr>
          <w:p w14:paraId="2D37BD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10分</w:t>
            </w:r>
          </w:p>
        </w:tc>
        <w:tc>
          <w:tcPr>
            <w:tcW w:w="6632" w:type="dxa"/>
            <w:shd w:val="clear" w:color="auto" w:fill="auto"/>
            <w:noWrap w:val="0"/>
            <w:vAlign w:val="center"/>
          </w:tcPr>
          <w:p w14:paraId="2F23E34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一、评分内容：</w:t>
            </w:r>
          </w:p>
          <w:p w14:paraId="4A89201C">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 xml:space="preserve">（一）投标人提供北斗智能手环服务方案，包括以下内容：每包括一项得1分，最高得5分：    </w:t>
            </w:r>
            <w:r>
              <w:rPr>
                <w:rFonts w:hint="eastAsia" w:ascii="仿宋_GB2312" w:hAnsi="仿宋_GB2312" w:eastAsia="仿宋_GB2312" w:cs="仿宋_GB2312"/>
                <w:bCs/>
                <w:snapToGrid w:val="0"/>
                <w:color w:val="auto"/>
                <w:sz w:val="24"/>
                <w:highlight w:val="none"/>
                <w:lang w:val="en-US" w:eastAsia="zh-CN"/>
              </w:rPr>
              <w:br w:type="textWrapping"/>
            </w:r>
            <w:r>
              <w:rPr>
                <w:rFonts w:hint="eastAsia" w:ascii="仿宋_GB2312" w:hAnsi="仿宋_GB2312" w:eastAsia="仿宋_GB2312" w:cs="仿宋_GB2312"/>
                <w:bCs/>
                <w:snapToGrid w:val="0"/>
                <w:color w:val="auto"/>
                <w:sz w:val="24"/>
                <w:highlight w:val="none"/>
                <w:lang w:val="en-US" w:eastAsia="zh-CN"/>
              </w:rPr>
              <w:t xml:space="preserve">    1.安全生产管理；</w:t>
            </w:r>
          </w:p>
          <w:p w14:paraId="3B61F3E4">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2.服务流程规范；</w:t>
            </w:r>
          </w:p>
          <w:p w14:paraId="7BEA4ABD">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3.质量检验措施；</w:t>
            </w:r>
          </w:p>
          <w:p w14:paraId="1C0BD148">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4.北斗智能手环档案管理；</w:t>
            </w:r>
          </w:p>
          <w:p w14:paraId="56B94821">
            <w:pPr>
              <w:keepNext w:val="0"/>
              <w:keepLines w:val="0"/>
              <w:pageBreakBefore w:val="0"/>
              <w:widowControl w:val="0"/>
              <w:kinsoku/>
              <w:wordWrap/>
              <w:overflowPunct/>
              <w:topLinePunct w:val="0"/>
              <w:autoSpaceDE/>
              <w:autoSpaceDN/>
              <w:bidi w:val="0"/>
              <w:adjustRightInd/>
              <w:snapToGrid/>
              <w:spacing w:line="320" w:lineRule="exact"/>
              <w:ind w:left="239" w:leftChars="114" w:firstLine="240" w:firstLineChars="100"/>
              <w:jc w:val="both"/>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5.应急处理措施。</w:t>
            </w:r>
          </w:p>
          <w:p w14:paraId="6F05981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（二）在此基础上，评委针对各投标人提供的运维服务方案进行进阶评审：（此项满分5分）</w:t>
            </w:r>
          </w:p>
          <w:p w14:paraId="4A1DBED6">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1.具备完善的安全生产管理制度和业务流程操作规范，具备完善的检修措施，确保运维质量，且承诺正常工作时间（8：00-18：00）内，在招标人项目范围的指定场所内提供定人定点上门运维服务且不收取额外费用的。评价为优，得5分；</w:t>
            </w:r>
          </w:p>
          <w:p w14:paraId="0107292E">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2.具备比较完善的安全生产管理制度和业务流程操作规范，具备比较完善的检修措施以确保运维质量，评价为良，得3分；</w:t>
            </w:r>
          </w:p>
          <w:p w14:paraId="2DC5167A">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Cs/>
                <w:snapToGrid w:val="0"/>
                <w:color w:val="auto"/>
                <w:sz w:val="24"/>
                <w:highlight w:val="none"/>
                <w:lang w:val="en-US" w:eastAsia="zh-CN"/>
              </w:rPr>
            </w:pPr>
            <w:r>
              <w:rPr>
                <w:rFonts w:hint="eastAsia" w:ascii="仿宋_GB2312" w:hAnsi="仿宋_GB2312" w:eastAsia="仿宋_GB2312" w:cs="仿宋_GB2312"/>
                <w:bCs/>
                <w:snapToGrid w:val="0"/>
                <w:color w:val="auto"/>
                <w:sz w:val="24"/>
                <w:highlight w:val="none"/>
                <w:lang w:val="en-US" w:eastAsia="zh-CN"/>
              </w:rPr>
              <w:t>3.具备安全生产管理制度、业务流程操作规范和检修措施，评价为中，得1分；</w:t>
            </w:r>
          </w:p>
          <w:p w14:paraId="70FC44CA">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bCs/>
                <w:snapToGrid w:val="0"/>
                <w:color w:val="auto"/>
                <w:sz w:val="24"/>
                <w:highlight w:val="none"/>
                <w:lang w:val="en-US" w:eastAsia="zh-CN"/>
              </w:rPr>
              <w:t>4.其他情况，评价为差，不得分。</w:t>
            </w:r>
          </w:p>
          <w:p w14:paraId="605C5FD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2" w:firstLineChars="200"/>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二、评分依据：</w:t>
            </w:r>
          </w:p>
          <w:p w14:paraId="1C93B4C0">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投标人自拟方案，未提供方案或专家无法凭所提供资料判断是否得分的情况，一律做不得分处理。</w:t>
            </w:r>
          </w:p>
        </w:tc>
      </w:tr>
      <w:tr w14:paraId="19C7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442" w:type="dxa"/>
            <w:gridSpan w:val="5"/>
            <w:noWrap w:val="0"/>
            <w:vAlign w:val="center"/>
          </w:tcPr>
          <w:p w14:paraId="292C1F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技术部分</w:t>
            </w:r>
          </w:p>
        </w:tc>
        <w:tc>
          <w:tcPr>
            <w:tcW w:w="6632" w:type="dxa"/>
            <w:shd w:val="clear" w:color="auto" w:fill="auto"/>
            <w:noWrap w:val="0"/>
            <w:vAlign w:val="center"/>
          </w:tcPr>
          <w:p w14:paraId="5FBBC5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39分</w:t>
            </w:r>
          </w:p>
        </w:tc>
      </w:tr>
      <w:tr w14:paraId="5258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1" w:type="dxa"/>
            <w:gridSpan w:val="2"/>
            <w:noWrap w:val="0"/>
            <w:vAlign w:val="center"/>
          </w:tcPr>
          <w:p w14:paraId="7DA488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sz w:val="24"/>
                <w:szCs w:val="24"/>
                <w:highlight w:val="none"/>
                <w:vertAlign w:val="baseline"/>
                <w:lang w:val="en-US" w:eastAsia="zh-CN"/>
              </w:rPr>
              <w:t>1</w:t>
            </w:r>
          </w:p>
        </w:tc>
        <w:tc>
          <w:tcPr>
            <w:tcW w:w="930" w:type="dxa"/>
            <w:shd w:val="clear" w:color="auto" w:fill="auto"/>
            <w:noWrap w:val="0"/>
            <w:vAlign w:val="center"/>
          </w:tcPr>
          <w:p w14:paraId="4A7D5D9A">
            <w:pPr>
              <w:spacing w:line="400" w:lineRule="exact"/>
              <w:jc w:val="center"/>
              <w:rPr>
                <w:rFonts w:hint="eastAsia"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bCs/>
                <w:snapToGrid w:val="0"/>
                <w:color w:val="auto"/>
                <w:kern w:val="2"/>
                <w:sz w:val="24"/>
                <w:szCs w:val="24"/>
                <w:highlight w:val="none"/>
                <w:lang w:val="en-US" w:eastAsia="zh-CN" w:bidi="ar-SA"/>
              </w:rPr>
              <w:t>拟安排的项目团队情况</w:t>
            </w:r>
          </w:p>
        </w:tc>
        <w:tc>
          <w:tcPr>
            <w:tcW w:w="801" w:type="dxa"/>
            <w:gridSpan w:val="2"/>
            <w:shd w:val="clear" w:color="auto" w:fill="auto"/>
            <w:noWrap w:val="0"/>
            <w:vAlign w:val="center"/>
          </w:tcPr>
          <w:p w14:paraId="55D767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val="en-US" w:eastAsia="zh-CN"/>
              </w:rPr>
              <w:t>6分</w:t>
            </w:r>
          </w:p>
        </w:tc>
        <w:tc>
          <w:tcPr>
            <w:tcW w:w="6632" w:type="dxa"/>
            <w:shd w:val="clear" w:color="auto" w:fill="auto"/>
            <w:noWrap w:val="0"/>
            <w:vAlign w:val="center"/>
          </w:tcPr>
          <w:p w14:paraId="18A21C8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一、评分内容：</w:t>
            </w:r>
          </w:p>
          <w:p w14:paraId="53353A1B">
            <w:pPr>
              <w:spacing w:line="400" w:lineRule="exact"/>
              <w:ind w:firstLine="480" w:firstLineChars="200"/>
              <w:jc w:val="left"/>
              <w:rPr>
                <w:rFonts w:hint="eastAsia" w:ascii="仿宋_GB2312" w:hAnsi="仿宋_GB2312" w:eastAsia="仿宋_GB2312" w:cs="仿宋_GB2312"/>
                <w:bCs/>
                <w:snapToGrid w:val="0"/>
                <w:color w:val="auto"/>
                <w:sz w:val="24"/>
                <w:highlight w:val="none"/>
                <w:lang w:eastAsia="zh-CN"/>
              </w:rPr>
            </w:pPr>
            <w:r>
              <w:rPr>
                <w:rFonts w:hint="eastAsia" w:ascii="仿宋_GB2312" w:hAnsi="仿宋_GB2312" w:eastAsia="仿宋_GB2312" w:cs="仿宋_GB2312"/>
                <w:bCs/>
                <w:snapToGrid w:val="0"/>
                <w:color w:val="auto"/>
                <w:sz w:val="24"/>
                <w:highlight w:val="none"/>
              </w:rPr>
              <w:t>根据投标人拟安排的项目负责人进行评分</w:t>
            </w:r>
            <w:r>
              <w:rPr>
                <w:rFonts w:hint="eastAsia" w:ascii="仿宋_GB2312" w:hAnsi="仿宋_GB2312" w:eastAsia="仿宋_GB2312" w:cs="仿宋_GB2312"/>
                <w:bCs/>
                <w:snapToGrid w:val="0"/>
                <w:color w:val="auto"/>
                <w:sz w:val="24"/>
                <w:highlight w:val="none"/>
                <w:lang w:eastAsia="zh-CN"/>
              </w:rPr>
              <w:t>：</w:t>
            </w:r>
          </w:p>
          <w:p w14:paraId="4BC27F81">
            <w:pPr>
              <w:numPr>
                <w:ilvl w:val="0"/>
                <w:numId w:val="0"/>
              </w:numPr>
              <w:spacing w:line="400" w:lineRule="exact"/>
              <w:ind w:firstLine="480" w:firstLineChars="200"/>
              <w:jc w:val="left"/>
              <w:rPr>
                <w:rFonts w:hint="eastAsia" w:ascii="仿宋_GB2312" w:hAnsi="仿宋_GB2312" w:eastAsia="仿宋_GB2312" w:cs="仿宋_GB2312"/>
                <w:bCs/>
                <w:snapToGrid w:val="0"/>
                <w:color w:val="auto"/>
                <w:sz w:val="24"/>
                <w:highlight w:val="none"/>
                <w:lang w:eastAsia="zh-CN"/>
              </w:rPr>
            </w:pPr>
            <w:r>
              <w:rPr>
                <w:rFonts w:hint="eastAsia" w:ascii="仿宋_GB2312" w:hAnsi="仿宋_GB2312" w:eastAsia="仿宋_GB2312" w:cs="仿宋_GB2312"/>
                <w:bCs/>
                <w:snapToGrid w:val="0"/>
                <w:color w:val="auto"/>
                <w:kern w:val="2"/>
                <w:sz w:val="24"/>
                <w:szCs w:val="24"/>
                <w:lang w:val="en-US" w:eastAsia="zh-CN" w:bidi="ar-SA"/>
              </w:rPr>
              <w:t>1.</w:t>
            </w:r>
            <w:r>
              <w:rPr>
                <w:rFonts w:hint="eastAsia" w:ascii="仿宋_GB2312" w:hAnsi="仿宋_GB2312" w:eastAsia="仿宋_GB2312" w:cs="仿宋_GB2312"/>
                <w:bCs/>
                <w:snapToGrid w:val="0"/>
                <w:color w:val="auto"/>
                <w:sz w:val="24"/>
                <w:highlight w:val="none"/>
                <w:lang w:eastAsia="zh-CN"/>
              </w:rPr>
              <w:t>项目负责人具有本科及以上学历，得</w:t>
            </w:r>
            <w:r>
              <w:rPr>
                <w:rFonts w:hint="eastAsia" w:ascii="仿宋_GB2312" w:hAnsi="仿宋_GB2312" w:eastAsia="仿宋_GB2312" w:cs="仿宋_GB2312"/>
                <w:bCs/>
                <w:snapToGrid w:val="0"/>
                <w:color w:val="auto"/>
                <w:sz w:val="24"/>
                <w:highlight w:val="none"/>
                <w:lang w:val="en-US" w:eastAsia="zh-CN"/>
              </w:rPr>
              <w:t>2</w:t>
            </w:r>
            <w:r>
              <w:rPr>
                <w:rFonts w:hint="eastAsia" w:ascii="仿宋_GB2312" w:hAnsi="仿宋_GB2312" w:eastAsia="仿宋_GB2312" w:cs="仿宋_GB2312"/>
                <w:bCs/>
                <w:snapToGrid w:val="0"/>
                <w:color w:val="auto"/>
                <w:sz w:val="24"/>
                <w:highlight w:val="none"/>
                <w:lang w:eastAsia="zh-CN"/>
              </w:rPr>
              <w:t>分；专科学历的，得1分；专科以下学历，不得分。此项不累计计分，仅计算最高学历，此单项最高得</w:t>
            </w:r>
            <w:r>
              <w:rPr>
                <w:rFonts w:hint="eastAsia" w:ascii="仿宋_GB2312" w:hAnsi="仿宋_GB2312" w:eastAsia="仿宋_GB2312" w:cs="仿宋_GB2312"/>
                <w:bCs/>
                <w:snapToGrid w:val="0"/>
                <w:color w:val="auto"/>
                <w:sz w:val="24"/>
                <w:highlight w:val="none"/>
                <w:lang w:val="en-US" w:eastAsia="zh-CN"/>
              </w:rPr>
              <w:t>2</w:t>
            </w:r>
            <w:r>
              <w:rPr>
                <w:rFonts w:hint="eastAsia" w:ascii="仿宋_GB2312" w:hAnsi="仿宋_GB2312" w:eastAsia="仿宋_GB2312" w:cs="仿宋_GB2312"/>
                <w:bCs/>
                <w:snapToGrid w:val="0"/>
                <w:color w:val="auto"/>
                <w:sz w:val="24"/>
                <w:highlight w:val="none"/>
                <w:lang w:eastAsia="zh-CN"/>
              </w:rPr>
              <w:t>分。</w:t>
            </w:r>
          </w:p>
          <w:p w14:paraId="526607CF">
            <w:pPr>
              <w:numPr>
                <w:ilvl w:val="0"/>
                <w:numId w:val="0"/>
              </w:numPr>
              <w:spacing w:line="400" w:lineRule="exact"/>
              <w:ind w:firstLine="480" w:firstLineChars="200"/>
              <w:jc w:val="left"/>
              <w:rPr>
                <w:rFonts w:hint="eastAsia" w:ascii="仿宋_GB2312" w:hAnsi="仿宋_GB2312" w:eastAsia="仿宋_GB2312" w:cs="仿宋_GB2312"/>
                <w:bCs/>
                <w:snapToGrid w:val="0"/>
                <w:color w:val="auto"/>
                <w:sz w:val="24"/>
                <w:highlight w:val="none"/>
                <w:lang w:eastAsia="zh-CN"/>
              </w:rPr>
            </w:pPr>
            <w:r>
              <w:rPr>
                <w:rFonts w:hint="eastAsia" w:ascii="仿宋_GB2312" w:hAnsi="仿宋_GB2312" w:eastAsia="仿宋_GB2312" w:cs="仿宋_GB2312"/>
                <w:bCs/>
                <w:snapToGrid w:val="0"/>
                <w:color w:val="auto"/>
                <w:sz w:val="24"/>
                <w:highlight w:val="none"/>
                <w:lang w:val="en-US" w:eastAsia="zh-CN"/>
              </w:rPr>
              <w:t>2.</w:t>
            </w:r>
            <w:r>
              <w:rPr>
                <w:rFonts w:hint="eastAsia" w:ascii="仿宋_GB2312" w:hAnsi="仿宋_GB2312" w:eastAsia="仿宋_GB2312" w:cs="仿宋_GB2312"/>
                <w:bCs/>
                <w:snapToGrid w:val="0"/>
                <w:color w:val="auto"/>
                <w:sz w:val="24"/>
                <w:highlight w:val="none"/>
                <w:lang w:eastAsia="zh-CN"/>
              </w:rPr>
              <w:t>项目负责人具备资质类高级职称，</w:t>
            </w:r>
            <w:r>
              <w:rPr>
                <w:rFonts w:hint="eastAsia" w:ascii="仿宋_GB2312" w:hAnsi="仿宋_GB2312" w:eastAsia="仿宋_GB2312" w:cs="仿宋_GB2312"/>
                <w:bCs/>
                <w:snapToGrid w:val="0"/>
                <w:color w:val="auto"/>
                <w:sz w:val="24"/>
                <w:highlight w:val="none"/>
                <w:lang w:val="en-US" w:eastAsia="zh-CN"/>
              </w:rPr>
              <w:t>得2</w:t>
            </w:r>
            <w:r>
              <w:rPr>
                <w:rFonts w:hint="eastAsia" w:ascii="仿宋_GB2312" w:hAnsi="仿宋_GB2312" w:eastAsia="仿宋_GB2312" w:cs="仿宋_GB2312"/>
                <w:bCs/>
                <w:snapToGrid w:val="0"/>
                <w:color w:val="auto"/>
                <w:sz w:val="24"/>
                <w:highlight w:val="none"/>
                <w:lang w:eastAsia="zh-CN"/>
              </w:rPr>
              <w:t>分；具备资质类中级职称，得1分；其它不得分。此单项最高得</w:t>
            </w:r>
            <w:r>
              <w:rPr>
                <w:rFonts w:hint="eastAsia" w:ascii="仿宋_GB2312" w:hAnsi="仿宋_GB2312" w:eastAsia="仿宋_GB2312" w:cs="仿宋_GB2312"/>
                <w:bCs/>
                <w:snapToGrid w:val="0"/>
                <w:color w:val="auto"/>
                <w:sz w:val="24"/>
                <w:highlight w:val="none"/>
                <w:lang w:val="en-US" w:eastAsia="zh-CN"/>
              </w:rPr>
              <w:t>2</w:t>
            </w:r>
            <w:r>
              <w:rPr>
                <w:rFonts w:hint="eastAsia" w:ascii="仿宋_GB2312" w:hAnsi="仿宋_GB2312" w:eastAsia="仿宋_GB2312" w:cs="仿宋_GB2312"/>
                <w:bCs/>
                <w:snapToGrid w:val="0"/>
                <w:color w:val="auto"/>
                <w:sz w:val="24"/>
                <w:highlight w:val="none"/>
                <w:lang w:eastAsia="zh-CN"/>
              </w:rPr>
              <w:t>分。</w:t>
            </w:r>
          </w:p>
          <w:p w14:paraId="70B202C0">
            <w:pPr>
              <w:numPr>
                <w:ilvl w:val="0"/>
                <w:numId w:val="0"/>
              </w:numPr>
              <w:spacing w:line="400" w:lineRule="exact"/>
              <w:ind w:firstLine="480" w:firstLineChars="200"/>
              <w:jc w:val="left"/>
              <w:rPr>
                <w:rFonts w:hint="eastAsia" w:ascii="仿宋_GB2312" w:hAnsi="仿宋_GB2312" w:eastAsia="仿宋_GB2312" w:cs="仿宋_GB2312"/>
                <w:bCs/>
                <w:snapToGrid w:val="0"/>
                <w:color w:val="auto"/>
                <w:sz w:val="24"/>
                <w:highlight w:val="none"/>
                <w:lang w:eastAsia="zh-CN"/>
              </w:rPr>
            </w:pPr>
            <w:r>
              <w:rPr>
                <w:rFonts w:hint="eastAsia" w:ascii="仿宋_GB2312" w:hAnsi="仿宋_GB2312" w:eastAsia="仿宋_GB2312" w:cs="仿宋_GB2312"/>
                <w:bCs/>
                <w:snapToGrid w:val="0"/>
                <w:color w:val="auto"/>
                <w:sz w:val="24"/>
                <w:highlight w:val="none"/>
                <w:lang w:val="en-US" w:eastAsia="zh-CN"/>
              </w:rPr>
              <w:t>3.</w:t>
            </w:r>
            <w:r>
              <w:rPr>
                <w:rFonts w:hint="eastAsia" w:ascii="仿宋_GB2312" w:hAnsi="仿宋_GB2312" w:eastAsia="仿宋_GB2312" w:cs="仿宋_GB2312"/>
                <w:bCs/>
                <w:snapToGrid w:val="0"/>
                <w:color w:val="auto"/>
                <w:sz w:val="24"/>
                <w:highlight w:val="none"/>
                <w:lang w:eastAsia="zh-CN"/>
              </w:rPr>
              <w:t>项目负责人参与过不少于3个信息化类项目案例经验的，得</w:t>
            </w:r>
            <w:r>
              <w:rPr>
                <w:rFonts w:hint="eastAsia" w:ascii="仿宋_GB2312" w:hAnsi="仿宋_GB2312" w:eastAsia="仿宋_GB2312" w:cs="仿宋_GB2312"/>
                <w:bCs/>
                <w:snapToGrid w:val="0"/>
                <w:color w:val="auto"/>
                <w:sz w:val="24"/>
                <w:highlight w:val="none"/>
                <w:lang w:val="en-US" w:eastAsia="zh-CN"/>
              </w:rPr>
              <w:t>2</w:t>
            </w:r>
            <w:r>
              <w:rPr>
                <w:rFonts w:hint="eastAsia" w:ascii="仿宋_GB2312" w:hAnsi="仿宋_GB2312" w:eastAsia="仿宋_GB2312" w:cs="仿宋_GB2312"/>
                <w:bCs/>
                <w:snapToGrid w:val="0"/>
                <w:color w:val="auto"/>
                <w:sz w:val="24"/>
                <w:highlight w:val="none"/>
                <w:lang w:eastAsia="zh-CN"/>
              </w:rPr>
              <w:t>分；参与过1-2个信息化类项目案例经验的，得1分；其它不得分。此单项最高得</w:t>
            </w:r>
            <w:r>
              <w:rPr>
                <w:rFonts w:hint="eastAsia" w:ascii="仿宋_GB2312" w:hAnsi="仿宋_GB2312" w:eastAsia="仿宋_GB2312" w:cs="仿宋_GB2312"/>
                <w:bCs/>
                <w:snapToGrid w:val="0"/>
                <w:color w:val="auto"/>
                <w:sz w:val="24"/>
                <w:highlight w:val="none"/>
                <w:lang w:val="en-US" w:eastAsia="zh-CN"/>
              </w:rPr>
              <w:t>2</w:t>
            </w:r>
            <w:r>
              <w:rPr>
                <w:rFonts w:hint="eastAsia" w:ascii="仿宋_GB2312" w:hAnsi="仿宋_GB2312" w:eastAsia="仿宋_GB2312" w:cs="仿宋_GB2312"/>
                <w:bCs/>
                <w:snapToGrid w:val="0"/>
                <w:color w:val="auto"/>
                <w:sz w:val="24"/>
                <w:highlight w:val="none"/>
                <w:lang w:eastAsia="zh-CN"/>
              </w:rPr>
              <w:t>分。</w:t>
            </w:r>
          </w:p>
          <w:p w14:paraId="68E5CCFB">
            <w:pPr>
              <w:spacing w:line="400" w:lineRule="exact"/>
              <w:jc w:val="left"/>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kern w:val="2"/>
                <w:sz w:val="24"/>
                <w:szCs w:val="24"/>
                <w:vertAlign w:val="baseline"/>
                <w:lang w:val="en-US" w:eastAsia="zh-CN" w:bidi="ar-SA"/>
              </w:rPr>
              <w:t>二、评分依据：</w:t>
            </w:r>
          </w:p>
          <w:p w14:paraId="1521EB26">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1.拟安排的项目负责人需为投标人自有员工，提供相关人员开标日前由投标人为其缴交的载有政府部门公章的近1年社保缴交证明材料，如开标日上一个月的社保材料因政府部门原因暂时无法取得，则可以往前顺延一个月；社保资料必须至少显示缴交医疗保险信息，未显示该信息的该社保资料则不符合要求，原件备查。</w:t>
            </w:r>
          </w:p>
          <w:p w14:paraId="292F3FD9">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bCs/>
                <w:snapToGrid w:val="0"/>
                <w:color w:val="auto"/>
                <w:sz w:val="24"/>
                <w:highlight w:val="none"/>
              </w:rPr>
              <w:t>2.证明人员学历的，提供毕业证书复印件及学历信息在学信网查询结果截图</w:t>
            </w:r>
            <w:r>
              <w:rPr>
                <w:rFonts w:hint="eastAsia" w:ascii="仿宋_GB2312" w:hAnsi="仿宋_GB2312" w:eastAsia="仿宋_GB2312" w:cs="仿宋_GB2312"/>
                <w:bCs/>
                <w:snapToGrid w:val="0"/>
                <w:color w:val="auto"/>
                <w:sz w:val="24"/>
                <w:highlight w:val="none"/>
              </w:rPr>
              <w:br w:type="textWrapping"/>
            </w:r>
            <w:r>
              <w:rPr>
                <w:rFonts w:hint="eastAsia" w:ascii="仿宋_GB2312" w:hAnsi="仿宋_GB2312" w:eastAsia="仿宋_GB2312" w:cs="仿宋_GB2312"/>
                <w:bCs/>
                <w:snapToGrid w:val="0"/>
                <w:color w:val="auto"/>
                <w:sz w:val="24"/>
                <w:highlight w:val="none"/>
              </w:rPr>
              <w:t>（https://www.chsi.com.cn/xlcx/index.jsp），由于于日期较早无法查询的，需提供毕业院校出具的证明，国外学历证书提供教育部留学服务中心出具的国外学历认证书以及教育部留学服务中心官网查询截图（查询网址</w:t>
            </w:r>
            <w:r>
              <w:rPr>
                <w:rFonts w:hint="eastAsia" w:ascii="仿宋_GB2312" w:hAnsi="仿宋_GB2312" w:eastAsia="仿宋_GB2312" w:cs="仿宋_GB2312"/>
                <w:bCs/>
                <w:snapToGrid w:val="0"/>
                <w:color w:val="auto"/>
                <w:sz w:val="24"/>
                <w:highlight w:val="none"/>
              </w:rPr>
              <w:br w:type="textWrapping"/>
            </w:r>
            <w:r>
              <w:rPr>
                <w:rFonts w:hint="eastAsia" w:ascii="仿宋_GB2312" w:hAnsi="仿宋_GB2312" w:eastAsia="仿宋_GB2312" w:cs="仿宋_GB2312"/>
                <w:bCs/>
                <w:snapToGrid w:val="0"/>
                <w:color w:val="auto"/>
                <w:sz w:val="24"/>
                <w:highlight w:val="none"/>
              </w:rPr>
              <w:t>h</w:t>
            </w:r>
            <w:r>
              <w:rPr>
                <w:rFonts w:hint="eastAsia" w:ascii="仿宋_GB2312" w:hAnsi="仿宋_GB2312" w:eastAsia="仿宋_GB2312" w:cs="仿宋_GB2312"/>
                <w:kern w:val="2"/>
                <w:sz w:val="24"/>
                <w:szCs w:val="24"/>
                <w:highlight w:val="none"/>
                <w:vertAlign w:val="baseline"/>
                <w:lang w:val="en-US" w:eastAsia="zh-CN" w:bidi="ar-SA"/>
              </w:rPr>
              <w:t>ttps://zwfw.cscse.edu.cn/）；</w:t>
            </w:r>
          </w:p>
          <w:p w14:paraId="2AF5EFAD">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default"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3.资质类职称提供清晰扫描件附于投标文件并加盖投标人的公章。</w:t>
            </w:r>
          </w:p>
          <w:p w14:paraId="5A7BF239">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仿宋_GB2312" w:hAnsi="仿宋_GB2312" w:eastAsia="仿宋_GB2312" w:cs="仿宋_GB2312"/>
                <w:bCs/>
                <w:snapToGrid w:val="0"/>
                <w:color w:val="auto"/>
                <w:kern w:val="2"/>
                <w:sz w:val="24"/>
                <w:szCs w:val="24"/>
                <w:highlight w:val="no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4.投标人未提供证明资料或专家无法凭所提供资料判断是否得分的情况，一律作不得分处理。</w:t>
            </w:r>
          </w:p>
        </w:tc>
      </w:tr>
      <w:tr w14:paraId="2254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1" w:type="dxa"/>
            <w:gridSpan w:val="2"/>
            <w:shd w:val="clear" w:color="auto" w:fill="auto"/>
            <w:noWrap w:val="0"/>
            <w:vAlign w:val="center"/>
          </w:tcPr>
          <w:p w14:paraId="0C8C90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2</w:t>
            </w:r>
          </w:p>
        </w:tc>
        <w:tc>
          <w:tcPr>
            <w:tcW w:w="930" w:type="dxa"/>
            <w:shd w:val="clear" w:color="auto" w:fill="auto"/>
            <w:noWrap w:val="0"/>
            <w:vAlign w:val="center"/>
          </w:tcPr>
          <w:p w14:paraId="3A70D5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kern w:val="2"/>
                <w:sz w:val="28"/>
                <w:szCs w:val="28"/>
                <w:highlight w:val="none"/>
                <w:lang w:val="en-US" w:eastAsia="zh-CN" w:bidi="ar-SA"/>
              </w:rPr>
            </w:pPr>
            <w:r>
              <w:rPr>
                <w:rFonts w:hint="eastAsia" w:ascii="仿宋_GB2312" w:hAnsi="仿宋_GB2312" w:eastAsia="仿宋_GB2312" w:cs="仿宋_GB2312"/>
                <w:bCs/>
                <w:snapToGrid w:val="0"/>
                <w:color w:val="auto"/>
                <w:sz w:val="24"/>
                <w:highlight w:val="none"/>
              </w:rPr>
              <w:t>技术参数响应情况</w:t>
            </w:r>
          </w:p>
        </w:tc>
        <w:tc>
          <w:tcPr>
            <w:tcW w:w="801" w:type="dxa"/>
            <w:gridSpan w:val="2"/>
            <w:shd w:val="clear" w:color="auto" w:fill="auto"/>
            <w:noWrap w:val="0"/>
            <w:vAlign w:val="center"/>
          </w:tcPr>
          <w:p w14:paraId="729FF9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kern w:val="2"/>
                <w:sz w:val="28"/>
                <w:szCs w:val="28"/>
                <w:highlight w:val="none"/>
                <w:lang w:val="en-US" w:eastAsia="zh-CN" w:bidi="ar-SA"/>
              </w:rPr>
            </w:pPr>
            <w:r>
              <w:rPr>
                <w:rFonts w:hint="eastAsia" w:ascii="仿宋_GB2312" w:hAnsi="仿宋_GB2312" w:eastAsia="仿宋_GB2312" w:cs="仿宋_GB2312"/>
                <w:sz w:val="24"/>
                <w:szCs w:val="24"/>
                <w:highlight w:val="none"/>
                <w:vertAlign w:val="baseline"/>
                <w:lang w:val="en-US" w:eastAsia="zh-CN"/>
              </w:rPr>
              <w:t>33分</w:t>
            </w:r>
          </w:p>
        </w:tc>
        <w:tc>
          <w:tcPr>
            <w:tcW w:w="6632" w:type="dxa"/>
            <w:shd w:val="clear" w:color="auto" w:fill="auto"/>
            <w:noWrap w:val="0"/>
            <w:vAlign w:val="center"/>
          </w:tcPr>
          <w:p w14:paraId="4EEA008F">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
                <w:bCs/>
                <w:kern w:val="2"/>
                <w:sz w:val="24"/>
                <w:szCs w:val="24"/>
                <w:vertAlign w:val="baseline"/>
                <w:lang w:val="en-US" w:eastAsia="zh-CN" w:bidi="ar-SA"/>
              </w:rPr>
              <w:t>评分内容：</w:t>
            </w:r>
          </w:p>
          <w:p w14:paraId="15D64106">
            <w:pPr>
              <w:keepNext w:val="0"/>
              <w:keepLines w:val="0"/>
              <w:widowControl/>
              <w:numPr>
                <w:ilvl w:val="0"/>
                <w:numId w:val="0"/>
              </w:numPr>
              <w:suppressLineNumbers w:val="0"/>
              <w:ind w:firstLine="480" w:firstLineChars="200"/>
              <w:jc w:val="left"/>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投标人提供产品的技术规格响应情况（格式详见投标文件组成要求）进行打分</w:t>
            </w:r>
            <w:r>
              <w:rPr>
                <w:rFonts w:hint="eastAsia" w:ascii="仿宋_GB2312" w:hAnsi="仿宋_GB2312" w:eastAsia="仿宋_GB2312" w:cs="仿宋_GB2312"/>
                <w:bCs/>
                <w:snapToGrid w:val="0"/>
                <w:color w:val="auto"/>
                <w:sz w:val="24"/>
                <w:highlight w:val="none"/>
                <w:lang w:eastAsia="zh-CN"/>
              </w:rPr>
              <w:t>，每一项为</w:t>
            </w:r>
            <w:r>
              <w:rPr>
                <w:rFonts w:hint="eastAsia" w:ascii="仿宋_GB2312" w:hAnsi="仿宋_GB2312" w:eastAsia="仿宋_GB2312" w:cs="仿宋_GB2312"/>
                <w:bCs/>
                <w:snapToGrid w:val="0"/>
                <w:color w:val="auto"/>
                <w:sz w:val="24"/>
                <w:highlight w:val="none"/>
                <w:lang w:val="en-US" w:eastAsia="zh-CN"/>
              </w:rPr>
              <w:t>3</w:t>
            </w:r>
            <w:r>
              <w:rPr>
                <w:rFonts w:hint="eastAsia" w:ascii="仿宋_GB2312" w:hAnsi="仿宋_GB2312" w:eastAsia="仿宋_GB2312" w:cs="仿宋_GB2312"/>
                <w:bCs/>
                <w:snapToGrid w:val="0"/>
                <w:color w:val="auto"/>
                <w:sz w:val="24"/>
                <w:highlight w:val="none"/>
                <w:lang w:eastAsia="zh-CN"/>
              </w:rPr>
              <w:t>分，本项最高得</w:t>
            </w:r>
            <w:r>
              <w:rPr>
                <w:rFonts w:hint="eastAsia" w:ascii="仿宋_GB2312" w:hAnsi="仿宋_GB2312" w:eastAsia="仿宋_GB2312" w:cs="仿宋_GB2312"/>
                <w:bCs/>
                <w:snapToGrid w:val="0"/>
                <w:color w:val="auto"/>
                <w:sz w:val="24"/>
                <w:highlight w:val="none"/>
                <w:lang w:val="en-US" w:eastAsia="zh-CN"/>
              </w:rPr>
              <w:t>33</w:t>
            </w:r>
            <w:r>
              <w:rPr>
                <w:rFonts w:hint="eastAsia" w:ascii="仿宋_GB2312" w:hAnsi="仿宋_GB2312" w:eastAsia="仿宋_GB2312" w:cs="仿宋_GB2312"/>
                <w:bCs/>
                <w:snapToGrid w:val="0"/>
                <w:color w:val="auto"/>
                <w:sz w:val="24"/>
                <w:highlight w:val="none"/>
                <w:lang w:eastAsia="zh-CN"/>
              </w:rPr>
              <w:t>分，对负偏离进行扣分，扣完为止，重点技术参数▲项若有负偏离则扣</w:t>
            </w:r>
            <w:r>
              <w:rPr>
                <w:rFonts w:hint="eastAsia" w:ascii="仿宋_GB2312" w:hAnsi="仿宋_GB2312" w:eastAsia="仿宋_GB2312" w:cs="仿宋_GB2312"/>
                <w:bCs/>
                <w:snapToGrid w:val="0"/>
                <w:color w:val="auto"/>
                <w:sz w:val="24"/>
                <w:highlight w:val="none"/>
                <w:lang w:val="en-US" w:eastAsia="zh-CN"/>
              </w:rPr>
              <w:t>33</w:t>
            </w:r>
            <w:r>
              <w:rPr>
                <w:rFonts w:hint="eastAsia" w:ascii="仿宋_GB2312" w:hAnsi="仿宋_GB2312" w:eastAsia="仿宋_GB2312" w:cs="仿宋_GB2312"/>
                <w:bCs/>
                <w:snapToGrid w:val="0"/>
                <w:color w:val="auto"/>
                <w:sz w:val="24"/>
                <w:highlight w:val="none"/>
                <w:lang w:eastAsia="zh-CN"/>
              </w:rPr>
              <w:t>分。</w:t>
            </w:r>
            <w:r>
              <w:rPr>
                <w:rFonts w:hint="eastAsia" w:ascii="仿宋_GB2312" w:hAnsi="仿宋_GB2312" w:eastAsia="仿宋_GB2312" w:cs="仿宋_GB2312"/>
                <w:bCs/>
                <w:snapToGrid w:val="0"/>
                <w:color w:val="auto"/>
                <w:sz w:val="24"/>
                <w:highlight w:val="none"/>
              </w:rPr>
              <w:br w:type="textWrapping"/>
            </w:r>
            <w:r>
              <w:rPr>
                <w:rFonts w:hint="eastAsia" w:ascii="仿宋_GB2312" w:hAnsi="仿宋_GB2312" w:eastAsia="仿宋_GB2312" w:cs="仿宋_GB2312"/>
                <w:b/>
                <w:bCs/>
                <w:kern w:val="2"/>
                <w:sz w:val="24"/>
                <w:szCs w:val="24"/>
                <w:highlight w:val="none"/>
                <w:vertAlign w:val="baseline"/>
                <w:lang w:val="en-US" w:eastAsia="zh-CN" w:bidi="ar-SA"/>
              </w:rPr>
              <w:t>二、评分依据：</w:t>
            </w:r>
          </w:p>
          <w:p w14:paraId="1F9BB15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jc w:val="both"/>
              <w:textAlignment w:val="auto"/>
              <w:rPr>
                <w:rFonts w:hint="eastAsia" w:ascii="仿宋" w:hAnsi="仿宋" w:eastAsia="仿宋" w:cs="仿宋"/>
                <w:b/>
                <w:bCs/>
                <w:kern w:val="2"/>
                <w:sz w:val="28"/>
                <w:szCs w:val="28"/>
                <w:highlight w:val="none"/>
                <w:lang w:val="en-US" w:eastAsia="zh-CN" w:bidi="ar-SA"/>
              </w:rPr>
            </w:pPr>
            <w:r>
              <w:rPr>
                <w:rFonts w:hint="eastAsia" w:ascii="仿宋_GB2312" w:hAnsi="仿宋_GB2312" w:eastAsia="仿宋_GB2312" w:cs="仿宋_GB2312"/>
                <w:bCs/>
                <w:snapToGrid w:val="0"/>
                <w:color w:val="auto"/>
                <w:sz w:val="24"/>
                <w:highlight w:val="none"/>
              </w:rPr>
              <w:t>投标人未提供证明资料或专家无法凭所提供资料判断是否得分的情况，一律作不得分处理</w:t>
            </w:r>
            <w:r>
              <w:rPr>
                <w:rFonts w:hint="eastAsia" w:ascii="仿宋_GB2312" w:hAnsi="仿宋_GB2312" w:eastAsia="仿宋_GB2312" w:cs="仿宋_GB2312"/>
                <w:bCs/>
                <w:snapToGrid w:val="0"/>
                <w:color w:val="auto"/>
                <w:sz w:val="24"/>
                <w:highlight w:val="none"/>
                <w:lang w:eastAsia="zh-CN"/>
              </w:rPr>
              <w:t>。</w:t>
            </w:r>
            <w:r>
              <w:rPr>
                <w:rFonts w:hint="eastAsia" w:ascii="仿宋_GB2312" w:hAnsi="仿宋_GB2312" w:eastAsia="仿宋_GB2312" w:cs="仿宋_GB2312"/>
                <w:bCs/>
                <w:snapToGrid w:val="0"/>
                <w:color w:val="auto"/>
                <w:sz w:val="24"/>
                <w:highlight w:val="none"/>
              </w:rPr>
              <w:t>。</w:t>
            </w:r>
          </w:p>
        </w:tc>
      </w:tr>
    </w:tbl>
    <w:p w14:paraId="32CF10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47D359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131656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17DA64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sectPr>
          <w:footerReference r:id="rId3" w:type="default"/>
          <w:pgSz w:w="11906" w:h="16838"/>
          <w:pgMar w:top="2098" w:right="1474" w:bottom="1984" w:left="1587" w:header="851" w:footer="992" w:gutter="0"/>
          <w:pgNumType w:fmt="decimal"/>
          <w:cols w:space="720" w:num="1"/>
          <w:rtlGutter w:val="0"/>
          <w:docGrid w:type="lines" w:linePitch="312" w:charSpace="0"/>
        </w:sectPr>
      </w:pPr>
    </w:p>
    <w:p w14:paraId="412EA0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（二）投标文件组成要求</w:t>
      </w:r>
    </w:p>
    <w:p w14:paraId="255B93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·资信技术标</w:t>
      </w:r>
    </w:p>
    <w:p w14:paraId="3C5D736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1.企业基本情况一览表</w:t>
      </w:r>
    </w:p>
    <w:p w14:paraId="5960D62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2.投标承诺函</w:t>
      </w:r>
    </w:p>
    <w:p w14:paraId="437EA1E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3.同类项目业绩</w:t>
      </w:r>
    </w:p>
    <w:p w14:paraId="531459C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38" w:leftChars="304" w:right="0" w:firstLine="0" w:firstLineChars="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4.应急服务方案</w:t>
      </w:r>
      <w:r>
        <w:rPr>
          <w:rFonts w:hint="eastAsia" w:ascii="楷体_GB2312" w:hAnsi="楷体_GB2312" w:eastAsia="楷体_GB2312" w:cs="楷体_GB2312"/>
          <w:sz w:val="32"/>
          <w:szCs w:val="32"/>
          <w:highlight w:val="none"/>
          <w:lang w:val="en-US" w:eastAsia="zh-CN"/>
        </w:rPr>
        <w:br w:type="textWrapping"/>
      </w:r>
      <w:r>
        <w:rPr>
          <w:rFonts w:hint="eastAsia" w:ascii="楷体_GB2312" w:hAnsi="楷体_GB2312" w:eastAsia="楷体_GB2312" w:cs="楷体_GB2312"/>
          <w:sz w:val="32"/>
          <w:szCs w:val="32"/>
          <w:highlight w:val="none"/>
          <w:lang w:val="en-US" w:eastAsia="zh-CN"/>
        </w:rPr>
        <w:t>5.运维服务方案</w:t>
      </w:r>
    </w:p>
    <w:p w14:paraId="6191A22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6.拟安排的项目团队情况</w:t>
      </w:r>
    </w:p>
    <w:p w14:paraId="1853372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38" w:leftChars="304" w:right="0" w:firstLine="0" w:firstLineChars="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7.技术参数响应情况</w:t>
      </w:r>
      <w:r>
        <w:rPr>
          <w:rFonts w:hint="eastAsia" w:ascii="楷体_GB2312" w:hAnsi="楷体_GB2312" w:eastAsia="楷体_GB2312" w:cs="楷体_GB2312"/>
          <w:sz w:val="32"/>
          <w:szCs w:val="32"/>
          <w:highlight w:val="none"/>
          <w:lang w:val="en-US" w:eastAsia="zh-CN"/>
        </w:rPr>
        <w:br w:type="textWrapping"/>
      </w:r>
      <w:r>
        <w:rPr>
          <w:rFonts w:hint="eastAsia" w:ascii="楷体_GB2312" w:hAnsi="楷体_GB2312" w:eastAsia="楷体_GB2312" w:cs="楷体_GB2312"/>
          <w:sz w:val="32"/>
          <w:szCs w:val="32"/>
          <w:highlight w:val="none"/>
          <w:lang w:val="en-US" w:eastAsia="zh-CN"/>
        </w:rPr>
        <w:t>8.标报价一览表</w:t>
      </w:r>
    </w:p>
    <w:p w14:paraId="52AD6390">
      <w:pP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br w:type="page"/>
      </w:r>
    </w:p>
    <w:p w14:paraId="3723E0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1.企业基本情况一览表</w:t>
      </w:r>
    </w:p>
    <w:tbl>
      <w:tblPr>
        <w:tblStyle w:val="1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2438"/>
        <w:gridCol w:w="2265"/>
        <w:gridCol w:w="2438"/>
      </w:tblGrid>
      <w:tr w14:paraId="1A71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76F15C9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企业名称</w:t>
            </w:r>
          </w:p>
        </w:tc>
        <w:tc>
          <w:tcPr>
            <w:tcW w:w="2438" w:type="dxa"/>
            <w:noWrap w:val="0"/>
            <w:vAlign w:val="center"/>
          </w:tcPr>
          <w:p w14:paraId="302445D3">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仿宋" w:hAnsi="仿宋" w:eastAsia="仿宋" w:cs="仿宋"/>
                <w:kern w:val="0"/>
                <w:sz w:val="30"/>
                <w:szCs w:val="30"/>
                <w:highlight w:val="none"/>
                <w:lang w:val="en-US" w:eastAsia="zh-CN" w:bidi="ar"/>
              </w:rPr>
            </w:pPr>
          </w:p>
        </w:tc>
        <w:tc>
          <w:tcPr>
            <w:tcW w:w="2265" w:type="dxa"/>
            <w:noWrap w:val="0"/>
            <w:vAlign w:val="center"/>
          </w:tcPr>
          <w:p w14:paraId="5C4068B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highlight w:val="none"/>
                <w:lang w:val="en-US" w:eastAsia="zh-CN" w:bidi="ar"/>
              </w:rPr>
            </w:pPr>
            <w:r>
              <w:rPr>
                <w:rFonts w:hint="eastAsia" w:ascii="仿宋" w:hAnsi="仿宋" w:eastAsia="仿宋" w:cs="仿宋"/>
                <w:sz w:val="30"/>
                <w:szCs w:val="30"/>
                <w:highlight w:val="none"/>
              </w:rPr>
              <w:t>企业曾用名（如有）</w:t>
            </w:r>
          </w:p>
        </w:tc>
        <w:tc>
          <w:tcPr>
            <w:tcW w:w="2438" w:type="dxa"/>
            <w:noWrap w:val="0"/>
            <w:vAlign w:val="center"/>
          </w:tcPr>
          <w:p w14:paraId="3255CCDF">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13DB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2D1F881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统一社会信用代码</w:t>
            </w:r>
          </w:p>
        </w:tc>
        <w:tc>
          <w:tcPr>
            <w:tcW w:w="2438" w:type="dxa"/>
            <w:noWrap w:val="0"/>
            <w:vAlign w:val="center"/>
          </w:tcPr>
          <w:p w14:paraId="4EE6340C">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highlight w:val="none"/>
                <w:lang w:val="en-US" w:eastAsia="zh-CN" w:bidi="ar"/>
              </w:rPr>
            </w:pPr>
          </w:p>
        </w:tc>
        <w:tc>
          <w:tcPr>
            <w:tcW w:w="2265" w:type="dxa"/>
            <w:noWrap w:val="0"/>
            <w:vAlign w:val="center"/>
          </w:tcPr>
          <w:p w14:paraId="5F4B68C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highlight w:val="none"/>
                <w:lang w:val="en-US" w:eastAsia="zh-CN" w:bidi="ar"/>
              </w:rPr>
            </w:pPr>
            <w:r>
              <w:rPr>
                <w:rFonts w:hint="eastAsia" w:ascii="仿宋" w:hAnsi="仿宋" w:eastAsia="仿宋" w:cs="仿宋"/>
                <w:sz w:val="30"/>
                <w:szCs w:val="30"/>
                <w:highlight w:val="none"/>
              </w:rPr>
              <w:t>企业性质（民营/国有）</w:t>
            </w:r>
          </w:p>
        </w:tc>
        <w:tc>
          <w:tcPr>
            <w:tcW w:w="2438" w:type="dxa"/>
            <w:noWrap w:val="0"/>
            <w:vAlign w:val="center"/>
          </w:tcPr>
          <w:p w14:paraId="0E7876D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2317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04AE003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注册资金（万元）</w:t>
            </w:r>
          </w:p>
        </w:tc>
        <w:tc>
          <w:tcPr>
            <w:tcW w:w="2438" w:type="dxa"/>
            <w:noWrap w:val="0"/>
            <w:vAlign w:val="center"/>
          </w:tcPr>
          <w:p w14:paraId="5A8FE1B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highlight w:val="none"/>
                <w:lang w:val="en-US" w:eastAsia="zh-CN" w:bidi="ar"/>
              </w:rPr>
            </w:pPr>
          </w:p>
        </w:tc>
        <w:tc>
          <w:tcPr>
            <w:tcW w:w="2265" w:type="dxa"/>
            <w:noWrap w:val="0"/>
            <w:vAlign w:val="center"/>
          </w:tcPr>
          <w:p w14:paraId="7BF8C95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highlight w:val="none"/>
                <w:lang w:val="en-US" w:eastAsia="zh-CN" w:bidi="ar"/>
              </w:rPr>
            </w:pPr>
            <w:r>
              <w:rPr>
                <w:rFonts w:hint="eastAsia" w:ascii="仿宋" w:hAnsi="仿宋" w:eastAsia="仿宋" w:cs="仿宋"/>
                <w:sz w:val="30"/>
                <w:szCs w:val="30"/>
                <w:highlight w:val="none"/>
              </w:rPr>
              <w:t>注册地址</w:t>
            </w:r>
          </w:p>
        </w:tc>
        <w:tc>
          <w:tcPr>
            <w:tcW w:w="2438" w:type="dxa"/>
            <w:noWrap w:val="0"/>
            <w:vAlign w:val="center"/>
          </w:tcPr>
          <w:p w14:paraId="4B11590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7AD7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294A998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企业法定代表人</w:t>
            </w:r>
          </w:p>
        </w:tc>
        <w:tc>
          <w:tcPr>
            <w:tcW w:w="2438" w:type="dxa"/>
            <w:noWrap w:val="0"/>
            <w:vAlign w:val="center"/>
          </w:tcPr>
          <w:p w14:paraId="4D2BE14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30"/>
                <w:szCs w:val="30"/>
                <w:highlight w:val="none"/>
                <w:lang w:val="en-US" w:eastAsia="zh-CN" w:bidi="ar"/>
              </w:rPr>
            </w:pPr>
          </w:p>
        </w:tc>
        <w:tc>
          <w:tcPr>
            <w:tcW w:w="2265" w:type="dxa"/>
            <w:noWrap w:val="0"/>
            <w:vAlign w:val="center"/>
          </w:tcPr>
          <w:p w14:paraId="11B1111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kern w:val="0"/>
                <w:sz w:val="30"/>
                <w:szCs w:val="30"/>
                <w:highlight w:val="none"/>
                <w:lang w:val="en-US" w:eastAsia="zh-CN" w:bidi="ar"/>
              </w:rPr>
            </w:pPr>
            <w:r>
              <w:rPr>
                <w:rFonts w:hint="eastAsia" w:ascii="仿宋" w:hAnsi="仿宋" w:eastAsia="仿宋" w:cs="仿宋"/>
                <w:sz w:val="30"/>
                <w:szCs w:val="30"/>
                <w:highlight w:val="none"/>
              </w:rPr>
              <w:t>建立日期</w:t>
            </w:r>
          </w:p>
        </w:tc>
        <w:tc>
          <w:tcPr>
            <w:tcW w:w="2438" w:type="dxa"/>
            <w:noWrap w:val="0"/>
            <w:vAlign w:val="center"/>
          </w:tcPr>
          <w:p w14:paraId="145ED7E7">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49DD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46BD15A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企业现有资质类别</w:t>
            </w:r>
          </w:p>
          <w:p w14:paraId="0A4D9B7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及等级</w:t>
            </w:r>
          </w:p>
        </w:tc>
        <w:tc>
          <w:tcPr>
            <w:tcW w:w="7141" w:type="dxa"/>
            <w:gridSpan w:val="3"/>
            <w:noWrap w:val="0"/>
            <w:vAlign w:val="center"/>
          </w:tcPr>
          <w:p w14:paraId="08D0040E">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1815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2665" w:type="dxa"/>
            <w:noWrap w:val="0"/>
            <w:vAlign w:val="center"/>
          </w:tcPr>
          <w:p w14:paraId="319FD6A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企业简介</w:t>
            </w:r>
          </w:p>
          <w:p w14:paraId="06E6F7A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（内容包括企业规模、人员数量及具有技术职称人员所占的比率等）</w:t>
            </w:r>
          </w:p>
        </w:tc>
        <w:tc>
          <w:tcPr>
            <w:tcW w:w="7141" w:type="dxa"/>
            <w:gridSpan w:val="3"/>
            <w:noWrap w:val="0"/>
            <w:vAlign w:val="center"/>
          </w:tcPr>
          <w:p w14:paraId="3A596D85">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3CC4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0A5C558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拟派项目负责人及资质</w:t>
            </w:r>
          </w:p>
        </w:tc>
        <w:tc>
          <w:tcPr>
            <w:tcW w:w="7141" w:type="dxa"/>
            <w:gridSpan w:val="3"/>
            <w:noWrap w:val="0"/>
            <w:vAlign w:val="center"/>
          </w:tcPr>
          <w:p w14:paraId="18779C9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6B13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2D22230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投标联系人及联系方式</w:t>
            </w:r>
          </w:p>
        </w:tc>
        <w:tc>
          <w:tcPr>
            <w:tcW w:w="7141" w:type="dxa"/>
            <w:gridSpan w:val="3"/>
            <w:noWrap w:val="0"/>
            <w:vAlign w:val="center"/>
          </w:tcPr>
          <w:p w14:paraId="7D747F3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r w14:paraId="4320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665" w:type="dxa"/>
            <w:noWrap w:val="0"/>
            <w:vAlign w:val="center"/>
          </w:tcPr>
          <w:p w14:paraId="0154D25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其他</w:t>
            </w:r>
          </w:p>
        </w:tc>
        <w:tc>
          <w:tcPr>
            <w:tcW w:w="7141" w:type="dxa"/>
            <w:gridSpan w:val="3"/>
            <w:noWrap w:val="0"/>
            <w:vAlign w:val="center"/>
          </w:tcPr>
          <w:p w14:paraId="251D9BE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highlight w:val="none"/>
                <w:vertAlign w:val="baseline"/>
                <w:lang w:val="en-US" w:eastAsia="zh-CN"/>
              </w:rPr>
            </w:pPr>
          </w:p>
        </w:tc>
      </w:tr>
    </w:tbl>
    <w:p w14:paraId="4708568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highlight w:val="none"/>
          <w:lang w:val="en-US" w:eastAsia="zh-CN"/>
        </w:rPr>
        <w:sectPr>
          <w:pgSz w:w="11906" w:h="16838"/>
          <w:pgMar w:top="2098" w:right="1474" w:bottom="1984" w:left="1587" w:header="851" w:footer="992" w:gutter="0"/>
          <w:pgNumType w:fmt="decimal"/>
          <w:cols w:space="720" w:num="1"/>
          <w:rtlGutter w:val="0"/>
          <w:docGrid w:type="lines" w:linePitch="312" w:charSpace="0"/>
        </w:sectPr>
      </w:pPr>
      <w:r>
        <w:rPr>
          <w:rFonts w:hint="eastAsia" w:ascii="仿宋" w:hAnsi="仿宋" w:eastAsia="仿宋" w:cs="仿宋"/>
          <w:b/>
          <w:bCs/>
          <w:sz w:val="24"/>
          <w:szCs w:val="24"/>
          <w:highlight w:val="none"/>
        </w:rPr>
        <w:t>注：相关证书</w:t>
      </w:r>
      <w:r>
        <w:rPr>
          <w:rFonts w:hint="eastAsia" w:ascii="仿宋" w:hAnsi="仿宋" w:eastAsia="仿宋" w:cs="仿宋"/>
          <w:b/>
          <w:bCs/>
          <w:sz w:val="24"/>
          <w:szCs w:val="24"/>
          <w:highlight w:val="none"/>
          <w:lang w:eastAsia="zh-CN"/>
        </w:rPr>
        <w:t>复印</w:t>
      </w:r>
      <w:r>
        <w:rPr>
          <w:rFonts w:hint="eastAsia" w:ascii="仿宋" w:hAnsi="仿宋" w:eastAsia="仿宋" w:cs="仿宋"/>
          <w:b/>
          <w:bCs/>
          <w:sz w:val="24"/>
          <w:szCs w:val="24"/>
          <w:highlight w:val="none"/>
        </w:rPr>
        <w:t>件应后附，如果表中填写的内容与招标人在相关网站查询结果不一致，将视为投标人存在弄虚作假的情形。</w:t>
      </w:r>
    </w:p>
    <w:p w14:paraId="1B30C59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2.投标承诺函</w:t>
      </w:r>
    </w:p>
    <w:p w14:paraId="1D6B8D1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投标承诺函</w:t>
      </w:r>
    </w:p>
    <w:p w14:paraId="1285F34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sz w:val="32"/>
          <w:szCs w:val="32"/>
          <w:highlight w:val="none"/>
        </w:rPr>
      </w:pPr>
    </w:p>
    <w:p w14:paraId="3F66D21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深圳市龙华</w:t>
      </w:r>
      <w:r>
        <w:rPr>
          <w:rFonts w:hint="eastAsia" w:ascii="仿宋_GB2312" w:hAnsi="仿宋_GB2312" w:eastAsia="仿宋_GB2312" w:cs="仿宋_GB2312"/>
          <w:sz w:val="32"/>
          <w:szCs w:val="32"/>
          <w:highlight w:val="none"/>
          <w:u w:val="single"/>
          <w:lang w:val="en-US" w:eastAsia="zh-CN"/>
        </w:rPr>
        <w:t>环境</w:t>
      </w:r>
      <w:r>
        <w:rPr>
          <w:rFonts w:hint="eastAsia" w:ascii="仿宋_GB2312" w:hAnsi="仿宋_GB2312" w:eastAsia="仿宋_GB2312" w:cs="仿宋_GB2312"/>
          <w:sz w:val="32"/>
          <w:szCs w:val="32"/>
          <w:highlight w:val="none"/>
          <w:u w:val="single"/>
        </w:rPr>
        <w:t>有限公司</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 xml:space="preserve"> </w:t>
      </w:r>
    </w:p>
    <w:p w14:paraId="42CFD94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为了确保本项目工作顺利进行，我方将严格执行招标投标管理的法律法规，并完全接受</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b/>
          <w:bCs/>
          <w:sz w:val="32"/>
          <w:szCs w:val="32"/>
          <w:highlight w:val="none"/>
          <w:u w:val="single"/>
        </w:rPr>
        <w:t>龙华区福龙和布龙路清扫保洁项目租用北斗智能手环</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none"/>
          <w:lang w:val="en-US" w:eastAsia="zh-CN"/>
        </w:rPr>
        <w:t>公开遴选</w:t>
      </w:r>
      <w:r>
        <w:rPr>
          <w:rFonts w:hint="eastAsia" w:ascii="仿宋_GB2312" w:hAnsi="仿宋_GB2312" w:eastAsia="仿宋_GB2312" w:cs="仿宋_GB2312"/>
          <w:sz w:val="32"/>
          <w:szCs w:val="32"/>
          <w:highlight w:val="none"/>
        </w:rPr>
        <w:t xml:space="preserve">公告的所有内容及要求，为此作出如下承诺： </w:t>
      </w:r>
    </w:p>
    <w:p w14:paraId="1DD1513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我方接受《龙华区福龙和布龙路清扫保洁项目租用北斗智能手环公开遴选公告》中确定的计价方式，根据企业自身情况，理性报价，不会以低于成本的报价竞争。 </w:t>
      </w:r>
    </w:p>
    <w:p w14:paraId="3E71CCA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一旦我方中选，将与委托单位友好合作，依约履行委托合同，自觉接受委托单位的日常监管和履约评价，为委托单位提供优质、高效服务。 </w:t>
      </w:r>
    </w:p>
    <w:p w14:paraId="40D67A6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 xml:space="preserve">如果违反本承诺书中任何条款，我方愿意接受： </w:t>
      </w:r>
    </w:p>
    <w:p w14:paraId="1DD57F6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（1）视作我方单方面违约，并按照合同规定向贵方支付违约金或解除合同； </w:t>
      </w:r>
    </w:p>
    <w:p w14:paraId="7D0655B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（2）履约评价评定为合格及以下； </w:t>
      </w:r>
    </w:p>
    <w:p w14:paraId="4664854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（3）贵方今后可拒绝我方参与投标； </w:t>
      </w:r>
    </w:p>
    <w:p w14:paraId="4B94EC1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市场</w:t>
      </w:r>
      <w:r>
        <w:rPr>
          <w:rFonts w:hint="eastAsia" w:ascii="仿宋_GB2312" w:hAnsi="仿宋_GB2312" w:eastAsia="仿宋_GB2312" w:cs="仿宋_GB2312"/>
          <w:sz w:val="32"/>
          <w:szCs w:val="32"/>
          <w:highlight w:val="none"/>
        </w:rPr>
        <w:t xml:space="preserve">行政主管部门或相关主管部门的不良行为记录、行政处罚。 </w:t>
      </w:r>
    </w:p>
    <w:p w14:paraId="0134856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p>
    <w:p w14:paraId="7F9E59C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sz w:val="32"/>
          <w:szCs w:val="32"/>
          <w:highlight w:val="none"/>
        </w:rPr>
      </w:pPr>
    </w:p>
    <w:p w14:paraId="4FC3015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520" w:firstLineChars="11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承诺单位（盖章）： </w:t>
      </w:r>
    </w:p>
    <w:p w14:paraId="752B328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1280" w:firstLineChars="4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法定代表人或授权委托人（签章）： </w:t>
      </w:r>
    </w:p>
    <w:p w14:paraId="04ED5CC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440" w:firstLineChars="17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日</w:t>
      </w:r>
    </w:p>
    <w:p w14:paraId="2D7C42A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lang w:val="en-US" w:eastAsia="zh-CN"/>
        </w:rPr>
        <w:sectPr>
          <w:pgSz w:w="11906" w:h="16838"/>
          <w:pgMar w:top="2098" w:right="1474" w:bottom="1984" w:left="1587" w:header="851" w:footer="992" w:gutter="0"/>
          <w:pgNumType w:fmt="decimal"/>
          <w:cols w:space="720" w:num="1"/>
          <w:rtlGutter w:val="0"/>
          <w:docGrid w:type="lines" w:linePitch="312" w:charSpace="0"/>
        </w:sectPr>
      </w:pPr>
    </w:p>
    <w:p w14:paraId="1BA664B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3.同类项目业绩</w:t>
      </w:r>
    </w:p>
    <w:tbl>
      <w:tblPr>
        <w:tblStyle w:val="9"/>
        <w:tblpPr w:leftFromText="180" w:rightFromText="180" w:vertAnchor="text" w:horzAnchor="page" w:tblpX="2022" w:tblpY="769"/>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5353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75D3246D">
            <w:pPr>
              <w:pStyle w:val="12"/>
            </w:pPr>
            <w:r>
              <w:t>序号</w:t>
            </w:r>
          </w:p>
        </w:tc>
        <w:tc>
          <w:tcPr>
            <w:tcW w:w="1384" w:type="dxa"/>
            <w:noWrap w:val="0"/>
            <w:vAlign w:val="top"/>
          </w:tcPr>
          <w:p w14:paraId="422C02D0">
            <w:pPr>
              <w:pStyle w:val="12"/>
            </w:pPr>
            <w:r>
              <w:t>客户名称</w:t>
            </w:r>
          </w:p>
        </w:tc>
        <w:tc>
          <w:tcPr>
            <w:tcW w:w="1384" w:type="dxa"/>
            <w:noWrap w:val="0"/>
            <w:vAlign w:val="top"/>
          </w:tcPr>
          <w:p w14:paraId="6D84D231">
            <w:pPr>
              <w:pStyle w:val="12"/>
            </w:pPr>
            <w:r>
              <w:t>项目名称及合同金额（万元）</w:t>
            </w:r>
          </w:p>
        </w:tc>
        <w:tc>
          <w:tcPr>
            <w:tcW w:w="1384" w:type="dxa"/>
            <w:noWrap w:val="0"/>
            <w:vAlign w:val="top"/>
          </w:tcPr>
          <w:p w14:paraId="11BF33C8">
            <w:pPr>
              <w:pStyle w:val="12"/>
            </w:pPr>
            <w:r>
              <w:t>签订合同时间</w:t>
            </w:r>
          </w:p>
        </w:tc>
        <w:tc>
          <w:tcPr>
            <w:tcW w:w="1384" w:type="dxa"/>
            <w:noWrap w:val="0"/>
            <w:vAlign w:val="top"/>
          </w:tcPr>
          <w:p w14:paraId="0A45382C">
            <w:pPr>
              <w:pStyle w:val="12"/>
            </w:pPr>
            <w:r>
              <w:t>竣工验收报告时间</w:t>
            </w:r>
          </w:p>
        </w:tc>
        <w:tc>
          <w:tcPr>
            <w:tcW w:w="1384" w:type="dxa"/>
            <w:noWrap w:val="0"/>
            <w:vAlign w:val="top"/>
          </w:tcPr>
          <w:p w14:paraId="2AFB8044">
            <w:pPr>
              <w:pStyle w:val="12"/>
            </w:pPr>
            <w:r>
              <w:t>联系人及电话</w:t>
            </w:r>
          </w:p>
        </w:tc>
      </w:tr>
      <w:tr w14:paraId="61A4F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361BAF3A">
            <w:pPr>
              <w:pStyle w:val="12"/>
            </w:pPr>
            <w:r>
              <w:t>1</w:t>
            </w:r>
          </w:p>
        </w:tc>
        <w:tc>
          <w:tcPr>
            <w:tcW w:w="1384" w:type="dxa"/>
            <w:noWrap w:val="0"/>
            <w:vAlign w:val="top"/>
          </w:tcPr>
          <w:p w14:paraId="5311F6C0"/>
        </w:tc>
        <w:tc>
          <w:tcPr>
            <w:tcW w:w="1384" w:type="dxa"/>
            <w:noWrap w:val="0"/>
            <w:vAlign w:val="top"/>
          </w:tcPr>
          <w:p w14:paraId="695DF055"/>
        </w:tc>
        <w:tc>
          <w:tcPr>
            <w:tcW w:w="1384" w:type="dxa"/>
            <w:noWrap w:val="0"/>
            <w:vAlign w:val="top"/>
          </w:tcPr>
          <w:p w14:paraId="54446A96"/>
        </w:tc>
        <w:tc>
          <w:tcPr>
            <w:tcW w:w="1384" w:type="dxa"/>
            <w:noWrap w:val="0"/>
            <w:vAlign w:val="top"/>
          </w:tcPr>
          <w:p w14:paraId="7BF38E2E"/>
        </w:tc>
        <w:tc>
          <w:tcPr>
            <w:tcW w:w="1384" w:type="dxa"/>
            <w:noWrap w:val="0"/>
            <w:vAlign w:val="top"/>
          </w:tcPr>
          <w:p w14:paraId="7885372B"/>
        </w:tc>
      </w:tr>
      <w:tr w14:paraId="257DC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19DF1BB8">
            <w:pPr>
              <w:pStyle w:val="12"/>
            </w:pPr>
            <w:r>
              <w:t>2</w:t>
            </w:r>
          </w:p>
        </w:tc>
        <w:tc>
          <w:tcPr>
            <w:tcW w:w="1384" w:type="dxa"/>
            <w:noWrap w:val="0"/>
            <w:vAlign w:val="top"/>
          </w:tcPr>
          <w:p w14:paraId="3B113072"/>
        </w:tc>
        <w:tc>
          <w:tcPr>
            <w:tcW w:w="1384" w:type="dxa"/>
            <w:noWrap w:val="0"/>
            <w:vAlign w:val="top"/>
          </w:tcPr>
          <w:p w14:paraId="33B1E754"/>
        </w:tc>
        <w:tc>
          <w:tcPr>
            <w:tcW w:w="1384" w:type="dxa"/>
            <w:noWrap w:val="0"/>
            <w:vAlign w:val="top"/>
          </w:tcPr>
          <w:p w14:paraId="08A7076F"/>
        </w:tc>
        <w:tc>
          <w:tcPr>
            <w:tcW w:w="1384" w:type="dxa"/>
            <w:noWrap w:val="0"/>
            <w:vAlign w:val="top"/>
          </w:tcPr>
          <w:p w14:paraId="138C73DF"/>
        </w:tc>
        <w:tc>
          <w:tcPr>
            <w:tcW w:w="1384" w:type="dxa"/>
            <w:noWrap w:val="0"/>
            <w:vAlign w:val="top"/>
          </w:tcPr>
          <w:p w14:paraId="13BC0E6F"/>
        </w:tc>
      </w:tr>
      <w:tr w14:paraId="56304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272DF393">
            <w:pPr>
              <w:pStyle w:val="12"/>
            </w:pPr>
            <w:r>
              <w:t>3</w:t>
            </w:r>
          </w:p>
        </w:tc>
        <w:tc>
          <w:tcPr>
            <w:tcW w:w="1384" w:type="dxa"/>
            <w:noWrap w:val="0"/>
            <w:vAlign w:val="top"/>
          </w:tcPr>
          <w:p w14:paraId="0A7918BE"/>
        </w:tc>
        <w:tc>
          <w:tcPr>
            <w:tcW w:w="1384" w:type="dxa"/>
            <w:noWrap w:val="0"/>
            <w:vAlign w:val="top"/>
          </w:tcPr>
          <w:p w14:paraId="662B90B7"/>
        </w:tc>
        <w:tc>
          <w:tcPr>
            <w:tcW w:w="1384" w:type="dxa"/>
            <w:noWrap w:val="0"/>
            <w:vAlign w:val="top"/>
          </w:tcPr>
          <w:p w14:paraId="664909DA"/>
        </w:tc>
        <w:tc>
          <w:tcPr>
            <w:tcW w:w="1384" w:type="dxa"/>
            <w:noWrap w:val="0"/>
            <w:vAlign w:val="top"/>
          </w:tcPr>
          <w:p w14:paraId="546646EB"/>
        </w:tc>
        <w:tc>
          <w:tcPr>
            <w:tcW w:w="1384" w:type="dxa"/>
            <w:noWrap w:val="0"/>
            <w:vAlign w:val="top"/>
          </w:tcPr>
          <w:p w14:paraId="5C7E79F1"/>
        </w:tc>
      </w:tr>
      <w:tr w14:paraId="3462F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1E57FA93">
            <w:pPr>
              <w:pStyle w:val="12"/>
            </w:pPr>
            <w:r>
              <w:t>4</w:t>
            </w:r>
          </w:p>
        </w:tc>
        <w:tc>
          <w:tcPr>
            <w:tcW w:w="1384" w:type="dxa"/>
            <w:noWrap w:val="0"/>
            <w:vAlign w:val="top"/>
          </w:tcPr>
          <w:p w14:paraId="588B8FC4"/>
        </w:tc>
        <w:tc>
          <w:tcPr>
            <w:tcW w:w="1384" w:type="dxa"/>
            <w:noWrap w:val="0"/>
            <w:vAlign w:val="top"/>
          </w:tcPr>
          <w:p w14:paraId="2CBE6D16"/>
        </w:tc>
        <w:tc>
          <w:tcPr>
            <w:tcW w:w="1384" w:type="dxa"/>
            <w:noWrap w:val="0"/>
            <w:vAlign w:val="top"/>
          </w:tcPr>
          <w:p w14:paraId="63FD81D0"/>
        </w:tc>
        <w:tc>
          <w:tcPr>
            <w:tcW w:w="1384" w:type="dxa"/>
            <w:noWrap w:val="0"/>
            <w:vAlign w:val="top"/>
          </w:tcPr>
          <w:p w14:paraId="120A44B4"/>
        </w:tc>
        <w:tc>
          <w:tcPr>
            <w:tcW w:w="1384" w:type="dxa"/>
            <w:noWrap w:val="0"/>
            <w:vAlign w:val="top"/>
          </w:tcPr>
          <w:p w14:paraId="4E436145"/>
        </w:tc>
      </w:tr>
      <w:tr w14:paraId="2A5BA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top"/>
          </w:tcPr>
          <w:p w14:paraId="5C106A34">
            <w:pPr>
              <w:pStyle w:val="12"/>
              <w:rPr>
                <w:rFonts w:hint="eastAsia" w:eastAsia="宋体"/>
                <w:lang w:eastAsia="zh-CN"/>
              </w:rPr>
            </w:pPr>
            <w:r>
              <w:rPr>
                <w:rFonts w:hint="eastAsia"/>
                <w:lang w:val="en-US" w:eastAsia="zh-CN"/>
              </w:rPr>
              <w:t>5</w:t>
            </w:r>
          </w:p>
        </w:tc>
        <w:tc>
          <w:tcPr>
            <w:tcW w:w="1384" w:type="dxa"/>
            <w:noWrap w:val="0"/>
            <w:vAlign w:val="top"/>
          </w:tcPr>
          <w:p w14:paraId="607330D1"/>
        </w:tc>
        <w:tc>
          <w:tcPr>
            <w:tcW w:w="1384" w:type="dxa"/>
            <w:noWrap w:val="0"/>
            <w:vAlign w:val="top"/>
          </w:tcPr>
          <w:p w14:paraId="76AA4CBD"/>
        </w:tc>
        <w:tc>
          <w:tcPr>
            <w:tcW w:w="1384" w:type="dxa"/>
            <w:noWrap w:val="0"/>
            <w:vAlign w:val="top"/>
          </w:tcPr>
          <w:p w14:paraId="53AC6D85"/>
        </w:tc>
        <w:tc>
          <w:tcPr>
            <w:tcW w:w="1384" w:type="dxa"/>
            <w:noWrap w:val="0"/>
            <w:vAlign w:val="top"/>
          </w:tcPr>
          <w:p w14:paraId="058A0341"/>
        </w:tc>
        <w:tc>
          <w:tcPr>
            <w:tcW w:w="1384" w:type="dxa"/>
            <w:noWrap w:val="0"/>
            <w:vAlign w:val="top"/>
          </w:tcPr>
          <w:p w14:paraId="280747A5"/>
        </w:tc>
      </w:tr>
    </w:tbl>
    <w:p w14:paraId="2210AF73">
      <w:pPr>
        <w:pStyle w:val="12"/>
        <w:ind w:firstLine="480"/>
      </w:pPr>
      <w:r>
        <w:t>（以下格式文件由供应商根据需要选用）</w:t>
      </w:r>
    </w:p>
    <w:p w14:paraId="0F84CFF6">
      <w:pPr>
        <w:pStyle w:val="12"/>
        <w:jc w:val="center"/>
        <w:outlineLvl w:val="3"/>
      </w:pPr>
      <w:r>
        <w:rPr>
          <w:b/>
          <w:sz w:val="24"/>
        </w:rPr>
        <w:t>投标人业绩情况表</w:t>
      </w:r>
    </w:p>
    <w:p w14:paraId="323C956A">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hint="eastAsia" w:ascii="楷体_GB2312" w:hAnsi="楷体_GB2312" w:eastAsia="楷体_GB2312" w:cs="楷体_GB2312"/>
          <w:sz w:val="32"/>
          <w:szCs w:val="32"/>
          <w:highlight w:val="none"/>
          <w:lang w:val="en-US" w:eastAsia="zh-CN"/>
        </w:rPr>
      </w:pPr>
      <w:r>
        <w:t>根据上述业绩情况，按招标文件要求附销售或服务合同复印件及评审标准要求的证明材料</w:t>
      </w:r>
    </w:p>
    <w:p w14:paraId="1D33C3FE">
      <w:pPr>
        <w:pStyle w:val="2"/>
        <w:numPr>
          <w:ilvl w:val="0"/>
          <w:numId w:val="0"/>
        </w:numPr>
        <w:ind w:firstLine="640" w:firstLineChars="200"/>
        <w:jc w:val="both"/>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kern w:val="2"/>
          <w:sz w:val="32"/>
          <w:szCs w:val="32"/>
          <w:lang w:val="en-US" w:eastAsia="zh-CN" w:bidi="ar-SA"/>
        </w:rPr>
        <w:t>4.</w:t>
      </w:r>
      <w:r>
        <w:rPr>
          <w:rFonts w:hint="eastAsia" w:ascii="楷体_GB2312" w:hAnsi="楷体_GB2312" w:eastAsia="楷体_GB2312" w:cs="楷体_GB2312"/>
          <w:sz w:val="32"/>
          <w:szCs w:val="32"/>
          <w:highlight w:val="none"/>
          <w:lang w:val="en-US" w:eastAsia="zh-CN"/>
        </w:rPr>
        <w:t>应急服务方案</w:t>
      </w:r>
    </w:p>
    <w:p w14:paraId="34F4FE21">
      <w:pPr>
        <w:pStyle w:val="2"/>
        <w:numPr>
          <w:ilvl w:val="0"/>
          <w:numId w:val="0"/>
        </w:numPr>
        <w:ind w:firstLine="3200" w:firstLineChars="1000"/>
        <w:jc w:val="both"/>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（格式内容自拟）</w:t>
      </w:r>
    </w:p>
    <w:p w14:paraId="6BFFD7C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5.运维服务方案</w:t>
      </w:r>
    </w:p>
    <w:p w14:paraId="39B76F5B">
      <w:pPr>
        <w:pStyle w:val="2"/>
        <w:numPr>
          <w:ilvl w:val="0"/>
          <w:numId w:val="0"/>
        </w:numPr>
        <w:jc w:val="cente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（格式内容自拟）</w:t>
      </w:r>
    </w:p>
    <w:p w14:paraId="2A924A1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6.拟安排的项目团队情况</w:t>
      </w:r>
    </w:p>
    <w:p w14:paraId="27C04124">
      <w:pPr>
        <w:pStyle w:val="2"/>
        <w:numPr>
          <w:ilvl w:val="0"/>
          <w:numId w:val="0"/>
        </w:numPr>
        <w:jc w:val="cente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（格式内容自拟）</w:t>
      </w:r>
    </w:p>
    <w:p w14:paraId="087B3ED9">
      <w:pPr>
        <w:pStyle w:val="2"/>
        <w:numPr>
          <w:ilvl w:val="0"/>
          <w:numId w:val="0"/>
        </w:numPr>
        <w:jc w:val="both"/>
        <w:rPr>
          <w:rFonts w:hint="eastAsia" w:ascii="楷体_GB2312" w:hAnsi="楷体_GB2312" w:eastAsia="楷体_GB2312" w:cs="楷体_GB2312"/>
          <w:sz w:val="32"/>
          <w:szCs w:val="32"/>
          <w:highlight w:val="none"/>
          <w:lang w:val="en-US" w:eastAsia="zh-CN"/>
        </w:rPr>
      </w:pPr>
    </w:p>
    <w:p w14:paraId="56132896">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highlight w:val="none"/>
          <w:lang w:val="en-US" w:eastAsia="zh-CN"/>
        </w:rPr>
      </w:pPr>
    </w:p>
    <w:p w14:paraId="1D5A7A80">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highlight w:val="none"/>
          <w:lang w:val="en-US" w:eastAsia="zh-CN"/>
        </w:rPr>
        <w:sectPr>
          <w:pgSz w:w="11906" w:h="16838"/>
          <w:pgMar w:top="2098" w:right="1417" w:bottom="1984" w:left="1587" w:header="851" w:footer="992" w:gutter="0"/>
          <w:cols w:space="425" w:num="1"/>
          <w:docGrid w:type="lines" w:linePitch="312" w:charSpace="0"/>
        </w:sectPr>
      </w:pPr>
    </w:p>
    <w:p w14:paraId="2F27098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7.技术参数响应情况</w:t>
      </w:r>
    </w:p>
    <w:p w14:paraId="17343599">
      <w:pPr>
        <w:pStyle w:val="5"/>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技术参数响应情况表</w:t>
      </w:r>
    </w:p>
    <w:tbl>
      <w:tblPr>
        <w:tblStyle w:val="10"/>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307"/>
        <w:gridCol w:w="3066"/>
        <w:gridCol w:w="2041"/>
        <w:gridCol w:w="1474"/>
        <w:gridCol w:w="1134"/>
      </w:tblGrid>
      <w:tr w14:paraId="5250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1" w:type="dxa"/>
            <w:noWrap w:val="0"/>
            <w:vAlign w:val="center"/>
          </w:tcPr>
          <w:p w14:paraId="26A7F5B8">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序号</w:t>
            </w:r>
          </w:p>
        </w:tc>
        <w:tc>
          <w:tcPr>
            <w:tcW w:w="1307" w:type="dxa"/>
            <w:noWrap w:val="0"/>
            <w:vAlign w:val="center"/>
          </w:tcPr>
          <w:p w14:paraId="448B70BE">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货物名称</w:t>
            </w:r>
          </w:p>
        </w:tc>
        <w:tc>
          <w:tcPr>
            <w:tcW w:w="3066" w:type="dxa"/>
            <w:noWrap w:val="0"/>
            <w:vAlign w:val="center"/>
          </w:tcPr>
          <w:p w14:paraId="53FB380F">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规格</w:t>
            </w:r>
          </w:p>
        </w:tc>
        <w:tc>
          <w:tcPr>
            <w:tcW w:w="2041" w:type="dxa"/>
            <w:noWrap w:val="0"/>
            <w:vAlign w:val="center"/>
          </w:tcPr>
          <w:p w14:paraId="1B909C4D">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所投产品参数</w:t>
            </w:r>
          </w:p>
        </w:tc>
        <w:tc>
          <w:tcPr>
            <w:tcW w:w="1474" w:type="dxa"/>
            <w:noWrap w:val="0"/>
            <w:vAlign w:val="center"/>
          </w:tcPr>
          <w:p w14:paraId="01FAA7E9">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偏离情况</w:t>
            </w:r>
          </w:p>
        </w:tc>
        <w:tc>
          <w:tcPr>
            <w:tcW w:w="1134" w:type="dxa"/>
            <w:noWrap w:val="0"/>
            <w:vAlign w:val="center"/>
          </w:tcPr>
          <w:p w14:paraId="554821C0">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说明</w:t>
            </w:r>
          </w:p>
        </w:tc>
      </w:tr>
      <w:tr w14:paraId="5D92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1" w:type="dxa"/>
            <w:noWrap w:val="0"/>
            <w:vAlign w:val="center"/>
          </w:tcPr>
          <w:p w14:paraId="08A994BE">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w:t>
            </w:r>
          </w:p>
        </w:tc>
        <w:tc>
          <w:tcPr>
            <w:tcW w:w="1307" w:type="dxa"/>
            <w:vMerge w:val="restart"/>
            <w:noWrap w:val="0"/>
            <w:vAlign w:val="center"/>
          </w:tcPr>
          <w:p w14:paraId="19CC97FD">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r>
              <w:rPr>
                <w:rFonts w:hint="eastAsia" w:ascii="仿宋_GB2312" w:hAnsi="仿宋_GB2312" w:eastAsia="仿宋_GB2312" w:cs="仿宋_GB2312"/>
                <w:sz w:val="32"/>
                <w:szCs w:val="32"/>
                <w:highlight w:val="none"/>
                <w:lang w:val="en-US" w:eastAsia="zh-CN"/>
              </w:rPr>
              <w:t>北斗智能手环</w:t>
            </w:r>
          </w:p>
        </w:tc>
        <w:tc>
          <w:tcPr>
            <w:tcW w:w="3066" w:type="dxa"/>
            <w:noWrap w:val="0"/>
            <w:vAlign w:val="center"/>
          </w:tcPr>
          <w:p w14:paraId="299E5781">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rPr>
              <w:t>1.定位方式：北斗；</w:t>
            </w:r>
          </w:p>
        </w:tc>
        <w:tc>
          <w:tcPr>
            <w:tcW w:w="2041" w:type="dxa"/>
            <w:noWrap w:val="0"/>
            <w:vAlign w:val="center"/>
          </w:tcPr>
          <w:p w14:paraId="073A0B4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2860FC60">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5187F208">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3F15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91" w:type="dxa"/>
            <w:noWrap w:val="0"/>
            <w:vAlign w:val="center"/>
          </w:tcPr>
          <w:p w14:paraId="32A461C9">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2</w:t>
            </w:r>
          </w:p>
        </w:tc>
        <w:tc>
          <w:tcPr>
            <w:tcW w:w="1307" w:type="dxa"/>
            <w:vMerge w:val="continue"/>
            <w:noWrap w:val="0"/>
            <w:vAlign w:val="center"/>
          </w:tcPr>
          <w:p w14:paraId="6C66BFD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3066" w:type="dxa"/>
            <w:noWrap w:val="0"/>
            <w:vAlign w:val="center"/>
          </w:tcPr>
          <w:p w14:paraId="24125E4C">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rPr>
              <w:t>2.通信网络：4G；</w:t>
            </w:r>
          </w:p>
        </w:tc>
        <w:tc>
          <w:tcPr>
            <w:tcW w:w="2041" w:type="dxa"/>
            <w:noWrap w:val="0"/>
            <w:vAlign w:val="center"/>
          </w:tcPr>
          <w:p w14:paraId="08D7B10A">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5F23EBC1">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3B7FF673">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4320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1" w:type="dxa"/>
            <w:noWrap w:val="0"/>
            <w:vAlign w:val="center"/>
          </w:tcPr>
          <w:p w14:paraId="0C50514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3</w:t>
            </w:r>
          </w:p>
        </w:tc>
        <w:tc>
          <w:tcPr>
            <w:tcW w:w="1307" w:type="dxa"/>
            <w:vMerge w:val="continue"/>
            <w:noWrap w:val="0"/>
            <w:vAlign w:val="center"/>
          </w:tcPr>
          <w:p w14:paraId="14F89715">
            <w:pPr>
              <w:widowControl w:val="0"/>
              <w:jc w:val="center"/>
              <w:rPr>
                <w:sz w:val="28"/>
                <w:szCs w:val="28"/>
                <w:highlight w:val="none"/>
              </w:rPr>
            </w:pPr>
          </w:p>
        </w:tc>
        <w:tc>
          <w:tcPr>
            <w:tcW w:w="3066" w:type="dxa"/>
            <w:noWrap w:val="0"/>
            <w:vAlign w:val="center"/>
          </w:tcPr>
          <w:p w14:paraId="5073CDB4">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rPr>
              <w:t>3.具备打卡功能；</w:t>
            </w:r>
          </w:p>
        </w:tc>
        <w:tc>
          <w:tcPr>
            <w:tcW w:w="2041" w:type="dxa"/>
            <w:noWrap w:val="0"/>
            <w:vAlign w:val="center"/>
          </w:tcPr>
          <w:p w14:paraId="7DF4404B">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40747B15">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584F9B6B">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6352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1" w:type="dxa"/>
            <w:noWrap w:val="0"/>
            <w:vAlign w:val="center"/>
          </w:tcPr>
          <w:p w14:paraId="5FAD7D38">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4</w:t>
            </w:r>
          </w:p>
        </w:tc>
        <w:tc>
          <w:tcPr>
            <w:tcW w:w="1307" w:type="dxa"/>
            <w:vMerge w:val="continue"/>
            <w:noWrap w:val="0"/>
            <w:vAlign w:val="center"/>
          </w:tcPr>
          <w:p w14:paraId="4F935F69">
            <w:pPr>
              <w:widowControl w:val="0"/>
              <w:jc w:val="center"/>
              <w:rPr>
                <w:sz w:val="28"/>
                <w:szCs w:val="28"/>
                <w:highlight w:val="none"/>
              </w:rPr>
            </w:pPr>
          </w:p>
        </w:tc>
        <w:tc>
          <w:tcPr>
            <w:tcW w:w="3066" w:type="dxa"/>
            <w:noWrap w:val="0"/>
            <w:vAlign w:val="center"/>
          </w:tcPr>
          <w:p w14:paraId="3AC8AD25">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rPr>
              <w:t>4.定位信息及轨迹：实时获取位置数据并支持最少1分钟数据上传，且支持离线存储及位置信息轨迹回放；</w:t>
            </w:r>
          </w:p>
        </w:tc>
        <w:tc>
          <w:tcPr>
            <w:tcW w:w="2041" w:type="dxa"/>
            <w:noWrap w:val="0"/>
            <w:vAlign w:val="center"/>
          </w:tcPr>
          <w:p w14:paraId="6E635F10">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2B1B813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60CCE448">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3B1D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91" w:type="dxa"/>
            <w:noWrap w:val="0"/>
            <w:vAlign w:val="center"/>
          </w:tcPr>
          <w:p w14:paraId="0E9876FC">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5</w:t>
            </w:r>
          </w:p>
        </w:tc>
        <w:tc>
          <w:tcPr>
            <w:tcW w:w="1307" w:type="dxa"/>
            <w:vMerge w:val="continue"/>
            <w:noWrap w:val="0"/>
            <w:vAlign w:val="center"/>
          </w:tcPr>
          <w:p w14:paraId="429B4E6D">
            <w:pPr>
              <w:widowControl w:val="0"/>
              <w:jc w:val="center"/>
              <w:rPr>
                <w:sz w:val="28"/>
                <w:szCs w:val="28"/>
                <w:highlight w:val="none"/>
              </w:rPr>
            </w:pPr>
          </w:p>
        </w:tc>
        <w:tc>
          <w:tcPr>
            <w:tcW w:w="3066" w:type="dxa"/>
            <w:noWrap w:val="0"/>
            <w:vAlign w:val="center"/>
          </w:tcPr>
          <w:p w14:paraId="62EBB10F">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rPr>
              <w:t>5.具备视频通话、语音播报功能；</w:t>
            </w:r>
          </w:p>
        </w:tc>
        <w:tc>
          <w:tcPr>
            <w:tcW w:w="2041" w:type="dxa"/>
            <w:noWrap w:val="0"/>
            <w:vAlign w:val="center"/>
          </w:tcPr>
          <w:p w14:paraId="351633EA">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74A7CB42">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3C08ABCA">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5C0E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91" w:type="dxa"/>
            <w:noWrap w:val="0"/>
            <w:vAlign w:val="center"/>
          </w:tcPr>
          <w:p w14:paraId="54950545">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6</w:t>
            </w:r>
          </w:p>
        </w:tc>
        <w:tc>
          <w:tcPr>
            <w:tcW w:w="1307" w:type="dxa"/>
            <w:vMerge w:val="continue"/>
            <w:noWrap w:val="0"/>
            <w:vAlign w:val="center"/>
          </w:tcPr>
          <w:p w14:paraId="732402B7">
            <w:pPr>
              <w:widowControl w:val="0"/>
              <w:jc w:val="center"/>
              <w:rPr>
                <w:sz w:val="28"/>
                <w:szCs w:val="28"/>
                <w:highlight w:val="none"/>
              </w:rPr>
            </w:pPr>
          </w:p>
        </w:tc>
        <w:tc>
          <w:tcPr>
            <w:tcW w:w="3066" w:type="dxa"/>
            <w:noWrap w:val="0"/>
            <w:vAlign w:val="center"/>
          </w:tcPr>
          <w:p w14:paraId="630F293D">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rPr>
              <w:t>6.防水等级≥IP66；</w:t>
            </w:r>
          </w:p>
        </w:tc>
        <w:tc>
          <w:tcPr>
            <w:tcW w:w="2041" w:type="dxa"/>
            <w:noWrap w:val="0"/>
            <w:vAlign w:val="center"/>
          </w:tcPr>
          <w:p w14:paraId="41902609">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465BE9A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6371DE2B">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5D3C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91" w:type="dxa"/>
            <w:noWrap w:val="0"/>
            <w:vAlign w:val="center"/>
          </w:tcPr>
          <w:p w14:paraId="4737473C">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7</w:t>
            </w:r>
          </w:p>
        </w:tc>
        <w:tc>
          <w:tcPr>
            <w:tcW w:w="1307" w:type="dxa"/>
            <w:vMerge w:val="continue"/>
            <w:noWrap w:val="0"/>
            <w:vAlign w:val="center"/>
          </w:tcPr>
          <w:p w14:paraId="5F5B3F51">
            <w:pPr>
              <w:widowControl w:val="0"/>
              <w:jc w:val="center"/>
              <w:rPr>
                <w:sz w:val="28"/>
                <w:szCs w:val="28"/>
                <w:highlight w:val="none"/>
              </w:rPr>
            </w:pPr>
          </w:p>
        </w:tc>
        <w:tc>
          <w:tcPr>
            <w:tcW w:w="3066" w:type="dxa"/>
            <w:noWrap w:val="0"/>
            <w:vAlign w:val="center"/>
          </w:tcPr>
          <w:p w14:paraId="2B4D6C77">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Cs/>
                <w:snapToGrid w:val="0"/>
                <w:color w:val="auto"/>
                <w:sz w:val="21"/>
                <w:szCs w:val="21"/>
                <w:highlight w:val="none"/>
                <w:lang w:eastAsia="zh-CN"/>
              </w:rPr>
              <w:t>▲</w:t>
            </w:r>
            <w:r>
              <w:rPr>
                <w:rFonts w:hint="eastAsia" w:ascii="仿宋_GB2312" w:hAnsi="仿宋_GB2312" w:eastAsia="仿宋_GB2312" w:cs="仿宋_GB2312"/>
                <w:b w:val="0"/>
                <w:bCs w:val="0"/>
                <w:color w:val="auto"/>
                <w:kern w:val="2"/>
                <w:sz w:val="21"/>
                <w:szCs w:val="21"/>
                <w:highlight w:val="none"/>
                <w:lang w:val="en-US" w:eastAsia="zh-CN"/>
              </w:rPr>
              <w:t>7.电池容量≥800mAh；续航时间≥20小时；</w:t>
            </w:r>
          </w:p>
        </w:tc>
        <w:tc>
          <w:tcPr>
            <w:tcW w:w="2041" w:type="dxa"/>
            <w:noWrap w:val="0"/>
            <w:vAlign w:val="center"/>
          </w:tcPr>
          <w:p w14:paraId="434287CF">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17AC7D0E">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3CDCC99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32DE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1" w:type="dxa"/>
            <w:noWrap w:val="0"/>
            <w:vAlign w:val="center"/>
          </w:tcPr>
          <w:p w14:paraId="554878EC">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8</w:t>
            </w:r>
          </w:p>
        </w:tc>
        <w:tc>
          <w:tcPr>
            <w:tcW w:w="1307" w:type="dxa"/>
            <w:vMerge w:val="continue"/>
            <w:noWrap w:val="0"/>
            <w:vAlign w:val="center"/>
          </w:tcPr>
          <w:p w14:paraId="7E6A6BA2">
            <w:pPr>
              <w:widowControl w:val="0"/>
              <w:jc w:val="center"/>
              <w:rPr>
                <w:sz w:val="28"/>
                <w:szCs w:val="28"/>
                <w:highlight w:val="none"/>
              </w:rPr>
            </w:pPr>
          </w:p>
        </w:tc>
        <w:tc>
          <w:tcPr>
            <w:tcW w:w="3066" w:type="dxa"/>
            <w:noWrap w:val="0"/>
            <w:vAlign w:val="center"/>
          </w:tcPr>
          <w:p w14:paraId="03E9A55D">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rPr>
              <w:t>8.支持人员体温实时监测；</w:t>
            </w:r>
          </w:p>
        </w:tc>
        <w:tc>
          <w:tcPr>
            <w:tcW w:w="2041" w:type="dxa"/>
            <w:noWrap w:val="0"/>
            <w:vAlign w:val="center"/>
          </w:tcPr>
          <w:p w14:paraId="17B8F8FC">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1C75F75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0A3FD2C8">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346B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1" w:type="dxa"/>
            <w:noWrap w:val="0"/>
            <w:vAlign w:val="center"/>
          </w:tcPr>
          <w:p w14:paraId="6226F5E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9</w:t>
            </w:r>
          </w:p>
        </w:tc>
        <w:tc>
          <w:tcPr>
            <w:tcW w:w="1307" w:type="dxa"/>
            <w:vMerge w:val="continue"/>
            <w:noWrap w:val="0"/>
            <w:vAlign w:val="center"/>
          </w:tcPr>
          <w:p w14:paraId="297FD84A">
            <w:pPr>
              <w:widowControl w:val="0"/>
              <w:jc w:val="center"/>
              <w:rPr>
                <w:sz w:val="28"/>
                <w:szCs w:val="28"/>
                <w:highlight w:val="none"/>
              </w:rPr>
            </w:pPr>
          </w:p>
        </w:tc>
        <w:tc>
          <w:tcPr>
            <w:tcW w:w="3066" w:type="dxa"/>
            <w:noWrap w:val="0"/>
            <w:vAlign w:val="center"/>
          </w:tcPr>
          <w:p w14:paraId="7C2AFB00">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rPr>
              <w:t>9.盲区补传：设备定位且不在线，可暂存不低于300条数据，有信号正常上线时上传；</w:t>
            </w:r>
          </w:p>
        </w:tc>
        <w:tc>
          <w:tcPr>
            <w:tcW w:w="2041" w:type="dxa"/>
            <w:noWrap w:val="0"/>
            <w:vAlign w:val="center"/>
          </w:tcPr>
          <w:p w14:paraId="5A1DC2F1">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w:t>
            </w:r>
          </w:p>
        </w:tc>
        <w:tc>
          <w:tcPr>
            <w:tcW w:w="1474" w:type="dxa"/>
            <w:noWrap w:val="0"/>
            <w:vAlign w:val="center"/>
          </w:tcPr>
          <w:p w14:paraId="5C60B302">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231D054C">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2D30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1" w:type="dxa"/>
            <w:noWrap w:val="0"/>
            <w:vAlign w:val="center"/>
          </w:tcPr>
          <w:p w14:paraId="05889246">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10</w:t>
            </w:r>
          </w:p>
        </w:tc>
        <w:tc>
          <w:tcPr>
            <w:tcW w:w="1307" w:type="dxa"/>
            <w:vMerge w:val="continue"/>
            <w:noWrap w:val="0"/>
            <w:vAlign w:val="center"/>
          </w:tcPr>
          <w:p w14:paraId="5E785505">
            <w:pPr>
              <w:widowControl w:val="0"/>
              <w:jc w:val="center"/>
              <w:rPr>
                <w:sz w:val="28"/>
                <w:szCs w:val="28"/>
                <w:highlight w:val="none"/>
              </w:rPr>
            </w:pPr>
          </w:p>
        </w:tc>
        <w:tc>
          <w:tcPr>
            <w:tcW w:w="3066" w:type="dxa"/>
            <w:noWrap w:val="0"/>
            <w:vAlign w:val="center"/>
          </w:tcPr>
          <w:p w14:paraId="3EC02B86">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rPr>
              <w:t>10.整机通过国家安全标准认证GB4943，电池原料通过国家安全标准认证GB31241。</w:t>
            </w:r>
          </w:p>
        </w:tc>
        <w:tc>
          <w:tcPr>
            <w:tcW w:w="2041" w:type="dxa"/>
            <w:noWrap w:val="0"/>
            <w:vAlign w:val="center"/>
          </w:tcPr>
          <w:p w14:paraId="7EB85F6D">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33A3CEBE">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75FF3291">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r w14:paraId="0E0D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91" w:type="dxa"/>
            <w:noWrap w:val="0"/>
            <w:vAlign w:val="center"/>
          </w:tcPr>
          <w:p w14:paraId="5B7469B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11</w:t>
            </w:r>
          </w:p>
        </w:tc>
        <w:tc>
          <w:tcPr>
            <w:tcW w:w="1307" w:type="dxa"/>
            <w:vMerge w:val="continue"/>
            <w:noWrap w:val="0"/>
            <w:vAlign w:val="center"/>
          </w:tcPr>
          <w:p w14:paraId="5E3F21E0">
            <w:pPr>
              <w:widowControl w:val="0"/>
              <w:jc w:val="center"/>
              <w:rPr>
                <w:sz w:val="28"/>
                <w:szCs w:val="28"/>
                <w:highlight w:val="none"/>
              </w:rPr>
            </w:pPr>
          </w:p>
        </w:tc>
        <w:tc>
          <w:tcPr>
            <w:tcW w:w="3066" w:type="dxa"/>
            <w:noWrap w:val="0"/>
            <w:vAlign w:val="center"/>
          </w:tcPr>
          <w:p w14:paraId="7100ED41">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kern w:val="2"/>
                <w:sz w:val="21"/>
                <w:szCs w:val="21"/>
                <w:highlight w:val="none"/>
                <w:lang w:val="en-US" w:eastAsia="zh-CN"/>
              </w:rPr>
            </w:pPr>
            <w:r>
              <w:rPr>
                <w:rFonts w:hint="eastAsia" w:ascii="仿宋_GB2312" w:hAnsi="仿宋_GB2312" w:eastAsia="仿宋_GB2312" w:cs="仿宋_GB2312"/>
                <w:bCs/>
                <w:snapToGrid w:val="0"/>
                <w:color w:val="auto"/>
                <w:sz w:val="21"/>
                <w:szCs w:val="21"/>
                <w:highlight w:val="none"/>
                <w:lang w:eastAsia="zh-CN"/>
              </w:rPr>
              <w:t>▲</w:t>
            </w:r>
            <w:r>
              <w:rPr>
                <w:rFonts w:hint="eastAsia" w:ascii="仿宋_GB2312" w:hAnsi="仿宋_GB2312" w:eastAsia="仿宋_GB2312" w:cs="仿宋_GB2312"/>
                <w:b w:val="0"/>
                <w:bCs w:val="0"/>
                <w:color w:val="auto"/>
                <w:kern w:val="2"/>
                <w:sz w:val="21"/>
                <w:szCs w:val="21"/>
                <w:highlight w:val="none"/>
                <w:lang w:val="en-US" w:eastAsia="zh-CN"/>
              </w:rPr>
              <w:t>11.能够接入龙华区相关环卫管理系统（平台）及城管智慧化管理平台共享方案，并确保在网时间不少于一年</w:t>
            </w:r>
          </w:p>
        </w:tc>
        <w:tc>
          <w:tcPr>
            <w:tcW w:w="2041" w:type="dxa"/>
            <w:noWrap w:val="0"/>
            <w:vAlign w:val="center"/>
          </w:tcPr>
          <w:p w14:paraId="14FF4434">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474" w:type="dxa"/>
            <w:noWrap w:val="0"/>
            <w:vAlign w:val="center"/>
          </w:tcPr>
          <w:p w14:paraId="2D4A4125">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c>
          <w:tcPr>
            <w:tcW w:w="1134" w:type="dxa"/>
            <w:noWrap w:val="0"/>
            <w:vAlign w:val="center"/>
          </w:tcPr>
          <w:p w14:paraId="47716809">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kern w:val="2"/>
                <w:sz w:val="28"/>
                <w:szCs w:val="28"/>
                <w:highlight w:val="none"/>
                <w:lang w:val="en-US" w:eastAsia="zh-CN"/>
              </w:rPr>
            </w:pPr>
          </w:p>
        </w:tc>
      </w:tr>
    </w:tbl>
    <w:p w14:paraId="34463AA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楷体_GB2312" w:hAnsi="楷体_GB2312" w:eastAsia="楷体_GB2312" w:cs="楷体_GB2312"/>
          <w:sz w:val="24"/>
          <w:szCs w:val="24"/>
          <w:highlight w:val="none"/>
          <w:lang w:val="en-US" w:eastAsia="zh-CN"/>
        </w:rPr>
      </w:pPr>
      <w:r>
        <w:rPr>
          <w:rFonts w:hint="eastAsia" w:ascii="仿宋" w:hAnsi="仿宋" w:eastAsia="仿宋" w:cs="仿宋"/>
          <w:sz w:val="24"/>
          <w:szCs w:val="24"/>
          <w:highlight w:val="none"/>
          <w:lang w:val="en-US" w:eastAsia="zh-CN"/>
        </w:rPr>
        <w:t>注：带▲符合的为重点技术参数。根据投标车辆的技术参数指标，投标人应后附</w:t>
      </w:r>
      <w:r>
        <w:rPr>
          <w:rFonts w:hint="eastAsia" w:ascii="仿宋" w:hAnsi="仿宋" w:eastAsia="仿宋" w:cs="仿宋"/>
          <w:b/>
          <w:bCs w:val="0"/>
          <w:sz w:val="24"/>
          <w:szCs w:val="24"/>
          <w:highlight w:val="none"/>
          <w:lang w:val="en-US" w:eastAsia="zh-CN"/>
        </w:rPr>
        <w:t>工信部公告参数报告或截图</w:t>
      </w:r>
      <w:r>
        <w:rPr>
          <w:rFonts w:hint="eastAsia" w:ascii="仿宋" w:hAnsi="仿宋" w:eastAsia="仿宋" w:cs="仿宋"/>
          <w:b/>
          <w:bCs/>
          <w:sz w:val="24"/>
          <w:szCs w:val="24"/>
          <w:highlight w:val="none"/>
          <w:lang w:val="en-US" w:eastAsia="zh-CN"/>
        </w:rPr>
        <w:t>，并在相应参数处做重点标注</w:t>
      </w:r>
      <w:r>
        <w:rPr>
          <w:rFonts w:hint="eastAsia" w:ascii="仿宋" w:hAnsi="仿宋" w:eastAsia="仿宋" w:cs="仿宋"/>
          <w:sz w:val="24"/>
          <w:szCs w:val="24"/>
          <w:highlight w:val="none"/>
          <w:lang w:val="en-US" w:eastAsia="zh-CN"/>
        </w:rPr>
        <w:t>，若工信部公告未体现的参数，投标人应提供第三方机构检测报告进行证明，否则视为不满足。</w:t>
      </w:r>
    </w:p>
    <w:p w14:paraId="28FBD42B">
      <w:pPr>
        <w:pStyle w:val="8"/>
        <w:rPr>
          <w:rFonts w:hint="eastAsia"/>
          <w:lang w:val="en-US" w:eastAsia="zh-CN"/>
        </w:rPr>
        <w:sectPr>
          <w:pgSz w:w="11906" w:h="16838"/>
          <w:pgMar w:top="2098" w:right="1417" w:bottom="1984" w:left="1587" w:header="851" w:footer="992" w:gutter="0"/>
          <w:cols w:space="425" w:num="1"/>
          <w:docGrid w:type="lines" w:linePitch="312" w:charSpace="0"/>
        </w:sectPr>
      </w:pPr>
    </w:p>
    <w:p w14:paraId="0F360D82">
      <w:pPr>
        <w:pStyle w:val="8"/>
        <w:ind w:left="0" w:leftChars="0" w:firstLine="0" w:firstLineChars="0"/>
        <w:rPr>
          <w:rFonts w:hint="eastAsia"/>
          <w:highlight w:val="none"/>
          <w:lang w:val="en-US" w:eastAsia="zh-CN"/>
        </w:rPr>
      </w:pPr>
      <w:r>
        <w:rPr>
          <w:rFonts w:hint="eastAsia" w:ascii="楷体_GB2312" w:hAnsi="楷体_GB2312" w:eastAsia="楷体_GB2312" w:cs="楷体_GB2312"/>
          <w:sz w:val="32"/>
          <w:szCs w:val="32"/>
          <w:highlight w:val="none"/>
          <w:lang w:val="en-US" w:eastAsia="zh-CN"/>
        </w:rPr>
        <w:t>8.投标报价一览表</w:t>
      </w:r>
    </w:p>
    <w:p w14:paraId="5AB5DF44">
      <w:pPr>
        <w:pStyle w:val="4"/>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致招标人: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深圳市龙华环境有限公司</w:t>
      </w:r>
      <w:r>
        <w:rPr>
          <w:rFonts w:hint="eastAsia" w:ascii="仿宋_GB2312" w:hAnsi="仿宋_GB2312" w:eastAsia="仿宋_GB2312" w:cs="仿宋_GB2312"/>
          <w:sz w:val="32"/>
          <w:szCs w:val="32"/>
          <w:highlight w:val="none"/>
          <w:u w:val="single"/>
          <w:lang w:val="en-US" w:eastAsia="zh-CN"/>
        </w:rPr>
        <w:t xml:space="preserve"> </w:t>
      </w:r>
    </w:p>
    <w:p w14:paraId="7BFC68CC">
      <w:pPr>
        <w:pStyle w:val="4"/>
        <w:keepNext w:val="0"/>
        <w:keepLines w:val="0"/>
        <w:pageBreakBefore w:val="0"/>
        <w:widowControl w:val="0"/>
        <w:kinsoku/>
        <w:wordWrap/>
        <w:overflowPunct/>
        <w:topLinePunct w:val="0"/>
        <w:autoSpaceDE w:val="0"/>
        <w:autoSpaceDN w:val="0"/>
        <w:bidi w:val="0"/>
        <w:adjustRightInd w:val="0"/>
        <w:snapToGrid w:val="0"/>
        <w:spacing w:line="560" w:lineRule="exact"/>
        <w:ind w:firstLine="48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经分析研究招标人提供的本次</w:t>
      </w:r>
      <w:r>
        <w:rPr>
          <w:rFonts w:hint="eastAsia" w:ascii="仿宋_GB2312" w:hAnsi="仿宋_GB2312" w:eastAsia="仿宋_GB2312" w:cs="仿宋_GB2312"/>
          <w:sz w:val="32"/>
          <w:szCs w:val="32"/>
          <w:highlight w:val="none"/>
          <w:lang w:val="en-US" w:eastAsia="zh-CN"/>
        </w:rPr>
        <w:t>遴选</w:t>
      </w:r>
      <w:r>
        <w:rPr>
          <w:rFonts w:hint="eastAsia" w:ascii="仿宋_GB2312" w:hAnsi="仿宋_GB2312" w:eastAsia="仿宋_GB2312" w:cs="仿宋_GB2312"/>
          <w:sz w:val="32"/>
          <w:szCs w:val="32"/>
          <w:highlight w:val="none"/>
        </w:rPr>
        <w:t>公告内容，本投标人就</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b/>
          <w:bCs/>
          <w:sz w:val="32"/>
          <w:szCs w:val="32"/>
          <w:highlight w:val="none"/>
          <w:u w:val="single"/>
        </w:rPr>
        <w:t>龙华区福龙和布龙路清扫保洁项目租用北斗智能手环</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的报价见下表所列：</w:t>
      </w:r>
    </w:p>
    <w:tbl>
      <w:tblPr>
        <w:tblStyle w:val="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091"/>
        <w:gridCol w:w="1954"/>
        <w:gridCol w:w="945"/>
        <w:gridCol w:w="1995"/>
        <w:gridCol w:w="1532"/>
      </w:tblGrid>
      <w:tr w14:paraId="798F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709" w:type="dxa"/>
            <w:gridSpan w:val="2"/>
            <w:noWrap w:val="0"/>
            <w:vAlign w:val="center"/>
          </w:tcPr>
          <w:p w14:paraId="361AE6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采购项目</w:t>
            </w:r>
          </w:p>
        </w:tc>
        <w:tc>
          <w:tcPr>
            <w:tcW w:w="1954" w:type="dxa"/>
            <w:noWrap w:val="0"/>
            <w:vAlign w:val="center"/>
          </w:tcPr>
          <w:p w14:paraId="47D30E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含税投标单价</w:t>
            </w:r>
          </w:p>
          <w:p w14:paraId="1DC553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rPr>
              <w:t>（元</w:t>
            </w:r>
            <w:r>
              <w:rPr>
                <w:rFonts w:hint="eastAsia" w:ascii="仿宋_GB2312" w:hAnsi="仿宋_GB2312" w:eastAsia="仿宋_GB2312" w:cs="仿宋_GB2312"/>
                <w:b/>
                <w:bCs/>
                <w:sz w:val="28"/>
                <w:szCs w:val="28"/>
                <w:highlight w:val="none"/>
                <w:lang w:val="en-US" w:eastAsia="zh-CN"/>
              </w:rPr>
              <w:t>/台</w:t>
            </w:r>
            <w:r>
              <w:rPr>
                <w:rFonts w:hint="eastAsia" w:ascii="仿宋_GB2312" w:hAnsi="仿宋_GB2312" w:eastAsia="仿宋_GB2312" w:cs="仿宋_GB2312"/>
                <w:b/>
                <w:bCs/>
                <w:sz w:val="28"/>
                <w:szCs w:val="28"/>
                <w:highlight w:val="none"/>
              </w:rPr>
              <w:t>）</w:t>
            </w:r>
          </w:p>
        </w:tc>
        <w:tc>
          <w:tcPr>
            <w:tcW w:w="945" w:type="dxa"/>
            <w:noWrap w:val="0"/>
            <w:vAlign w:val="center"/>
          </w:tcPr>
          <w:p w14:paraId="3FF69D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sz w:val="28"/>
                <w:szCs w:val="28"/>
                <w:highlight w:val="none"/>
                <w:lang w:val="en-US" w:eastAsia="zh-CN"/>
              </w:rPr>
              <w:t>数量</w:t>
            </w:r>
          </w:p>
        </w:tc>
        <w:tc>
          <w:tcPr>
            <w:tcW w:w="1995" w:type="dxa"/>
            <w:noWrap w:val="0"/>
            <w:vAlign w:val="center"/>
          </w:tcPr>
          <w:p w14:paraId="629B38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含税</w:t>
            </w:r>
            <w:r>
              <w:rPr>
                <w:rFonts w:hint="eastAsia" w:ascii="仿宋_GB2312" w:hAnsi="仿宋_GB2312" w:eastAsia="仿宋_GB2312" w:cs="仿宋_GB2312"/>
                <w:b/>
                <w:bCs/>
                <w:sz w:val="28"/>
                <w:szCs w:val="28"/>
                <w:highlight w:val="none"/>
              </w:rPr>
              <w:t>投标</w:t>
            </w:r>
            <w:r>
              <w:rPr>
                <w:rFonts w:hint="eastAsia" w:ascii="仿宋_GB2312" w:hAnsi="仿宋_GB2312" w:eastAsia="仿宋_GB2312" w:cs="仿宋_GB2312"/>
                <w:b/>
                <w:bCs/>
                <w:sz w:val="28"/>
                <w:szCs w:val="28"/>
                <w:highlight w:val="none"/>
                <w:lang w:val="en-US" w:eastAsia="zh-CN"/>
              </w:rPr>
              <w:t>总</w:t>
            </w:r>
            <w:r>
              <w:rPr>
                <w:rFonts w:hint="eastAsia" w:ascii="仿宋_GB2312" w:hAnsi="仿宋_GB2312" w:eastAsia="仿宋_GB2312" w:cs="仿宋_GB2312"/>
                <w:b/>
                <w:bCs/>
                <w:sz w:val="28"/>
                <w:szCs w:val="28"/>
                <w:highlight w:val="none"/>
              </w:rPr>
              <w:t>价</w:t>
            </w:r>
          </w:p>
          <w:p w14:paraId="5D8A83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（元）</w:t>
            </w:r>
          </w:p>
        </w:tc>
        <w:tc>
          <w:tcPr>
            <w:tcW w:w="1532" w:type="dxa"/>
            <w:noWrap w:val="0"/>
            <w:vAlign w:val="center"/>
          </w:tcPr>
          <w:p w14:paraId="58BE4F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p>
        </w:tc>
      </w:tr>
      <w:tr w14:paraId="330F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618" w:type="dxa"/>
            <w:vMerge w:val="restart"/>
            <w:noWrap w:val="0"/>
            <w:vAlign w:val="center"/>
          </w:tcPr>
          <w:p w14:paraId="11A1A5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北斗智能手环</w:t>
            </w:r>
          </w:p>
        </w:tc>
        <w:tc>
          <w:tcPr>
            <w:tcW w:w="1091" w:type="dxa"/>
            <w:noWrap w:val="0"/>
            <w:vAlign w:val="center"/>
          </w:tcPr>
          <w:p w14:paraId="222A92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押金</w:t>
            </w:r>
          </w:p>
        </w:tc>
        <w:tc>
          <w:tcPr>
            <w:tcW w:w="1954" w:type="dxa"/>
            <w:noWrap w:val="0"/>
            <w:vAlign w:val="center"/>
          </w:tcPr>
          <w:p w14:paraId="60E431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highlight w:val="none"/>
                <w:lang w:val="en-US" w:eastAsia="zh-CN"/>
              </w:rPr>
            </w:pPr>
          </w:p>
        </w:tc>
        <w:tc>
          <w:tcPr>
            <w:tcW w:w="945" w:type="dxa"/>
            <w:vMerge w:val="restart"/>
            <w:noWrap w:val="0"/>
            <w:vAlign w:val="center"/>
          </w:tcPr>
          <w:p w14:paraId="7EF4EED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53台</w:t>
            </w:r>
          </w:p>
        </w:tc>
        <w:tc>
          <w:tcPr>
            <w:tcW w:w="1995" w:type="dxa"/>
            <w:noWrap w:val="0"/>
            <w:vAlign w:val="center"/>
          </w:tcPr>
          <w:p w14:paraId="22A39C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highlight w:val="none"/>
                <w:lang w:val="en-US" w:eastAsia="zh-CN"/>
              </w:rPr>
            </w:pPr>
          </w:p>
        </w:tc>
        <w:tc>
          <w:tcPr>
            <w:tcW w:w="1532" w:type="dxa"/>
            <w:vMerge w:val="restart"/>
            <w:noWrap w:val="0"/>
            <w:vAlign w:val="center"/>
          </w:tcPr>
          <w:p w14:paraId="579E01D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0"/>
                <w:sz w:val="28"/>
                <w:szCs w:val="28"/>
                <w:lang w:val="en-US" w:eastAsia="zh-CN"/>
              </w:rPr>
              <w:t>增值税率：</w:t>
            </w:r>
            <w:r>
              <w:rPr>
                <w:rFonts w:hint="eastAsia" w:ascii="仿宋_GB2312" w:hAnsi="仿宋_GB2312" w:eastAsia="仿宋_GB2312" w:cs="仿宋_GB2312"/>
                <w:kern w:val="0"/>
                <w:sz w:val="28"/>
                <w:szCs w:val="28"/>
                <w:lang w:val="en-US" w:eastAsia="zh-CN"/>
              </w:rPr>
              <w:br w:type="textWrapping"/>
            </w:r>
            <w:r>
              <w:rPr>
                <w:rFonts w:hint="eastAsia" w:ascii="仿宋_GB2312" w:hAnsi="仿宋_GB2312" w:eastAsia="仿宋_GB2312" w:cs="仿宋_GB2312"/>
                <w:bCs/>
                <w:kern w:val="2"/>
                <w:sz w:val="28"/>
                <w:szCs w:val="28"/>
                <w:u w:val="single"/>
                <w:lang w:val="en-US" w:eastAsia="zh-CN" w:bidi="ar-SA"/>
              </w:rPr>
              <w:t xml:space="preserve">        </w:t>
            </w:r>
            <w:r>
              <w:rPr>
                <w:rFonts w:hint="eastAsia" w:ascii="仿宋_GB2312" w:hAnsi="仿宋_GB2312" w:eastAsia="仿宋_GB2312" w:cs="仿宋_GB2312"/>
                <w:bCs/>
                <w:kern w:val="2"/>
                <w:sz w:val="28"/>
                <w:szCs w:val="28"/>
                <w:lang w:val="en-US" w:eastAsia="zh-CN" w:bidi="ar-SA"/>
              </w:rPr>
              <w:t>%</w:t>
            </w:r>
          </w:p>
        </w:tc>
      </w:tr>
      <w:tr w14:paraId="4EAE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18" w:type="dxa"/>
            <w:vMerge w:val="continue"/>
            <w:noWrap w:val="0"/>
            <w:vAlign w:val="center"/>
          </w:tcPr>
          <w:p w14:paraId="602E00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highlight w:val="none"/>
                <w:lang w:val="en-US" w:eastAsia="zh-CN"/>
              </w:rPr>
            </w:pPr>
          </w:p>
        </w:tc>
        <w:tc>
          <w:tcPr>
            <w:tcW w:w="1091" w:type="dxa"/>
            <w:noWrap w:val="0"/>
            <w:vAlign w:val="center"/>
          </w:tcPr>
          <w:p w14:paraId="497CCB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服务费</w:t>
            </w:r>
          </w:p>
        </w:tc>
        <w:tc>
          <w:tcPr>
            <w:tcW w:w="1954" w:type="dxa"/>
            <w:noWrap w:val="0"/>
            <w:vAlign w:val="center"/>
          </w:tcPr>
          <w:p w14:paraId="585F07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none"/>
                <w:lang w:val="en-US" w:eastAsia="zh-CN"/>
              </w:rPr>
            </w:pPr>
          </w:p>
        </w:tc>
        <w:tc>
          <w:tcPr>
            <w:tcW w:w="945" w:type="dxa"/>
            <w:vMerge w:val="continue"/>
            <w:noWrap w:val="0"/>
            <w:vAlign w:val="center"/>
          </w:tcPr>
          <w:p w14:paraId="0E28DBB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b w:val="0"/>
                <w:bCs w:val="0"/>
                <w:sz w:val="28"/>
                <w:szCs w:val="28"/>
                <w:highlight w:val="none"/>
                <w:lang w:val="en-US" w:eastAsia="zh-CN"/>
              </w:rPr>
            </w:pPr>
          </w:p>
        </w:tc>
        <w:tc>
          <w:tcPr>
            <w:tcW w:w="1995" w:type="dxa"/>
            <w:noWrap w:val="0"/>
            <w:vAlign w:val="center"/>
          </w:tcPr>
          <w:p w14:paraId="06C54E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8"/>
                <w:szCs w:val="28"/>
                <w:highlight w:val="none"/>
                <w:lang w:val="en-US" w:eastAsia="zh-CN"/>
              </w:rPr>
            </w:pPr>
          </w:p>
        </w:tc>
        <w:tc>
          <w:tcPr>
            <w:tcW w:w="1532" w:type="dxa"/>
            <w:vMerge w:val="continue"/>
            <w:noWrap w:val="0"/>
            <w:vAlign w:val="center"/>
          </w:tcPr>
          <w:p w14:paraId="03C2E87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highlight w:val="none"/>
                <w:lang w:val="en-US" w:eastAsia="zh-CN"/>
              </w:rPr>
            </w:pPr>
          </w:p>
        </w:tc>
      </w:tr>
      <w:tr w14:paraId="7146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09" w:type="dxa"/>
            <w:gridSpan w:val="2"/>
            <w:noWrap w:val="0"/>
            <w:vAlign w:val="center"/>
          </w:tcPr>
          <w:p w14:paraId="0F2F49A7">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总计</w:t>
            </w:r>
          </w:p>
        </w:tc>
        <w:tc>
          <w:tcPr>
            <w:tcW w:w="1954" w:type="dxa"/>
            <w:noWrap w:val="0"/>
            <w:vAlign w:val="center"/>
          </w:tcPr>
          <w:p w14:paraId="0FAA8C67">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w:t>
            </w:r>
          </w:p>
        </w:tc>
        <w:tc>
          <w:tcPr>
            <w:tcW w:w="945" w:type="dxa"/>
            <w:noWrap w:val="0"/>
            <w:vAlign w:val="center"/>
          </w:tcPr>
          <w:p w14:paraId="459BFD6D">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w:t>
            </w:r>
          </w:p>
        </w:tc>
        <w:tc>
          <w:tcPr>
            <w:tcW w:w="1995" w:type="dxa"/>
            <w:noWrap w:val="0"/>
            <w:vAlign w:val="center"/>
          </w:tcPr>
          <w:p w14:paraId="48A11DBC">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8"/>
                <w:szCs w:val="28"/>
                <w:lang w:val="en-US" w:eastAsia="zh-CN"/>
              </w:rPr>
            </w:pPr>
          </w:p>
        </w:tc>
        <w:tc>
          <w:tcPr>
            <w:tcW w:w="1532" w:type="dxa"/>
            <w:noWrap w:val="0"/>
            <w:vAlign w:val="center"/>
          </w:tcPr>
          <w:p w14:paraId="38DEA4B0">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8"/>
                <w:szCs w:val="28"/>
                <w:lang w:val="en-US" w:eastAsia="zh-CN"/>
              </w:rPr>
            </w:pPr>
          </w:p>
        </w:tc>
      </w:tr>
      <w:tr w14:paraId="6D9E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09" w:type="dxa"/>
            <w:gridSpan w:val="2"/>
            <w:shd w:val="clear" w:color="auto" w:fill="auto"/>
            <w:noWrap w:val="0"/>
            <w:vAlign w:val="center"/>
          </w:tcPr>
          <w:p w14:paraId="47247A70">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招标上限价（元）</w:t>
            </w:r>
          </w:p>
        </w:tc>
        <w:tc>
          <w:tcPr>
            <w:tcW w:w="6426" w:type="dxa"/>
            <w:gridSpan w:val="4"/>
            <w:noWrap w:val="0"/>
            <w:vAlign w:val="center"/>
          </w:tcPr>
          <w:p w14:paraId="7267C790">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58830</w:t>
            </w:r>
          </w:p>
        </w:tc>
      </w:tr>
    </w:tbl>
    <w:p w14:paraId="3DB11B22">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备注：</w:t>
      </w:r>
    </w:p>
    <w:p w14:paraId="31922C6E">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（1）如投标人提供的增值税专用发票税率不同时，则以不含增值税报价为最终评标价格（该评标价格仅作为评标时的依据，不能作为中标价格）。</w:t>
      </w:r>
    </w:p>
    <w:p w14:paraId="4E1C721C">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（2）本项目采用固定单价合同，投标报价总价不得超过</w:t>
      </w:r>
      <w:r>
        <w:rPr>
          <w:rFonts w:hint="eastAsia" w:ascii="仿宋" w:hAnsi="仿宋" w:eastAsia="仿宋" w:cs="仿宋"/>
          <w:b/>
          <w:bCs/>
          <w:sz w:val="24"/>
          <w:szCs w:val="24"/>
          <w:highlight w:val="none"/>
        </w:rPr>
        <w:t>招标控制价（投标上限价），否则将导致投标被否决，作无效投标处理</w:t>
      </w:r>
      <w:r>
        <w:rPr>
          <w:rFonts w:hint="eastAsia" w:ascii="仿宋" w:hAnsi="仿宋" w:eastAsia="仿宋" w:cs="仿宋"/>
          <w:b/>
          <w:bCs/>
          <w:sz w:val="24"/>
          <w:szCs w:val="24"/>
          <w:highlight w:val="none"/>
          <w:lang w:val="en-US" w:eastAsia="zh-CN"/>
        </w:rPr>
        <w:t>。</w:t>
      </w:r>
    </w:p>
    <w:p w14:paraId="12C4C55A">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以上报价包括供货方设计、标配工具、运输费、运输保险、调试、培训、质保期服务、购置税及其他各项税费等，包含可视可听要求，且设备要求能够接入龙华区相关环卫管理系统（平台）及城管智慧化管理平台，并确保在网时间不少于一年。</w:t>
      </w:r>
      <w:r>
        <w:rPr>
          <w:rFonts w:hint="eastAsia" w:ascii="仿宋" w:hAnsi="仿宋" w:eastAsia="仿宋" w:cs="仿宋"/>
          <w:b/>
          <w:bCs/>
          <w:sz w:val="24"/>
          <w:szCs w:val="24"/>
          <w:highlight w:val="none"/>
          <w:lang w:eastAsia="zh-CN"/>
        </w:rPr>
        <w:t>本项目所有费用一次性包定，不再追加。请各报价供应商在报价时请充分考虑各种因素</w:t>
      </w:r>
      <w:r>
        <w:rPr>
          <w:rFonts w:hint="eastAsia" w:ascii="仿宋" w:hAnsi="仿宋" w:eastAsia="仿宋" w:cs="仿宋"/>
          <w:b/>
          <w:bCs/>
          <w:sz w:val="24"/>
          <w:szCs w:val="24"/>
          <w:highlight w:val="none"/>
          <w:lang w:val="en-US" w:eastAsia="zh-CN"/>
        </w:rPr>
        <w:t>。</w:t>
      </w:r>
    </w:p>
    <w:p w14:paraId="3A34546D">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楷体_GB2312" w:hAnsi="楷体_GB2312" w:eastAsia="楷体_GB2312" w:cs="楷体_GB2312"/>
          <w:sz w:val="32"/>
          <w:szCs w:val="32"/>
          <w:highlight w:val="none"/>
          <w:lang w:val="en-US" w:eastAsia="zh-CN"/>
        </w:rPr>
      </w:pPr>
      <w:r>
        <w:rPr>
          <w:rFonts w:hint="eastAsia" w:ascii="仿宋" w:hAnsi="仿宋" w:eastAsia="仿宋" w:cs="仿宋"/>
          <w:b/>
          <w:bCs/>
          <w:sz w:val="24"/>
          <w:szCs w:val="24"/>
          <w:highlight w:val="none"/>
          <w:lang w:val="en-US" w:eastAsia="zh-CN"/>
        </w:rPr>
        <w:t>（4）如采购人接受本投标人的投标，本投标人将保证遵循国家和省、市相关法律、法规的要求和公告要求完成相关工作。在正式的合同协议制定和签署前，本报价连同采购人的中标通知书应为约束贵司、我双方的合同文件。</w:t>
      </w:r>
    </w:p>
    <w:sectPr>
      <w:pgSz w:w="11906" w:h="16838"/>
      <w:pgMar w:top="2098" w:right="141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F61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85033">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3285033">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C248A"/>
    <w:multiLevelType w:val="singleLevel"/>
    <w:tmpl w:val="5E5C24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73B2"/>
    <w:rsid w:val="014322F4"/>
    <w:rsid w:val="19F12D60"/>
    <w:rsid w:val="1AC2453B"/>
    <w:rsid w:val="1B8B187A"/>
    <w:rsid w:val="1EFF7CD1"/>
    <w:rsid w:val="20042C9E"/>
    <w:rsid w:val="20E25A74"/>
    <w:rsid w:val="26CE6042"/>
    <w:rsid w:val="386F2564"/>
    <w:rsid w:val="3FD54CB2"/>
    <w:rsid w:val="45BE7BC4"/>
    <w:rsid w:val="4BE9470C"/>
    <w:rsid w:val="4EB52EAD"/>
    <w:rsid w:val="4F2F2A4B"/>
    <w:rsid w:val="531B5014"/>
    <w:rsid w:val="58330C98"/>
    <w:rsid w:val="59654212"/>
    <w:rsid w:val="70B14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firstLineChars="200"/>
    </w:pPr>
  </w:style>
  <w:style w:type="paragraph" w:styleId="4">
    <w:name w:val="Plain Text"/>
    <w:basedOn w:val="1"/>
    <w:qFormat/>
    <w:uiPriority w:val="0"/>
    <w:rPr>
      <w:rFonts w:hAnsi="Courier New" w:cs="Courier New"/>
      <w:szCs w:val="21"/>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3"/>
    <w:qFormat/>
    <w:uiPriority w:val="99"/>
    <w:pPr>
      <w:spacing w:after="120" w:line="240" w:lineRule="auto"/>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4801</Words>
  <Characters>5033</Characters>
  <Lines>0</Lines>
  <Paragraphs>0</Paragraphs>
  <TotalTime>5</TotalTime>
  <ScaleCrop>false</ScaleCrop>
  <LinksUpToDate>false</LinksUpToDate>
  <CharactersWithSpaces>5094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2025-07-15T08:57:00Z</dcterms:created>
  <dc:creator>SBB</dc:creator>
  <cp:lastModifiedBy>龙华环境</cp:lastModifiedBy>
  <dcterms:modified xsi:type="dcterms:W3CDTF">2025-08-15T07:48:40Z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eyJoZGlkIjoiNjc5MTlkNDZkNjliMzhkMjQzNDJkY2ViN2E2ZjVlYzUiLCJ1c2VySWQiOiIyNDgxMzU4NjEifQ==</vt:lpwstr>
  </property>
  <property fmtid="{D5CDD505-2E9C-101B-9397-08002B2CF9AE}" pid="4" name="ICV">
    <vt:lpwstr>C057CA60BBFF45C6AFE7836183E85E68_12</vt:lpwstr>
  </property>
</Properties>
</file>