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476CC">
      <w:pPr>
        <w:pStyle w:val="5"/>
        <w:keepLines w:val="0"/>
        <w:widowControl w:val="0"/>
        <w:rPr>
          <w:rFonts w:ascii="宋体" w:hAnsi="宋体" w:cs="宋体"/>
        </w:rPr>
      </w:pPr>
      <w:r>
        <w:rPr>
          <w:rFonts w:hint="eastAsia" w:ascii="方正小标宋简体" w:hAnsi="方正小标宋简体" w:eastAsia="方正小标宋简体" w:cs="方正小标宋简体"/>
          <w:b w:val="0"/>
          <w:color w:val="auto"/>
          <w:kern w:val="2"/>
          <w:sz w:val="44"/>
          <w:szCs w:val="44"/>
        </w:rPr>
        <w:t>购销合同</w:t>
      </w:r>
    </w:p>
    <w:p w14:paraId="74ED5DB8">
      <w:pPr>
        <w:widowControl w:val="0"/>
        <w:adjustRightInd w:val="0"/>
        <w:snapToGrid w:val="0"/>
        <w:ind w:firstLine="640"/>
        <w:jc w:val="right"/>
        <w:rPr>
          <w:rFonts w:ascii="仿宋_GB2312" w:hAnsi="仿宋_GB2312" w:cs="仿宋_GB2312"/>
          <w:sz w:val="32"/>
          <w:szCs w:val="32"/>
        </w:rPr>
      </w:pPr>
      <w:r>
        <w:rPr>
          <w:rFonts w:hint="eastAsia" w:ascii="仿宋_GB2312" w:hAnsi="仿宋_GB2312" w:cs="仿宋_GB2312"/>
          <w:sz w:val="32"/>
          <w:szCs w:val="32"/>
        </w:rPr>
        <w:t>合同编号：</w:t>
      </w:r>
    </w:p>
    <w:p w14:paraId="0B452478">
      <w:pPr>
        <w:widowControl w:val="0"/>
        <w:ind w:firstLine="640"/>
        <w:jc w:val="both"/>
        <w:rPr>
          <w:rFonts w:ascii="仿宋_GB2312" w:hAnsi="仿宋_GB2312" w:cs="仿宋_GB2312"/>
          <w:sz w:val="32"/>
          <w:szCs w:val="32"/>
          <w:shd w:val="clear" w:color="auto" w:fill="FFFFFF"/>
        </w:rPr>
      </w:pPr>
      <w:r>
        <w:rPr>
          <w:rFonts w:hint="eastAsia" w:ascii="仿宋_GB2312" w:hAnsi="仿宋_GB2312" w:cs="仿宋_GB2312"/>
          <w:sz w:val="32"/>
          <w:szCs w:val="32"/>
        </w:rPr>
        <w:t>甲方（买方）</w:t>
      </w:r>
      <w:r>
        <w:rPr>
          <w:rFonts w:hint="eastAsia" w:ascii="仿宋_GB2312" w:hAnsi="仿宋_GB2312" w:cs="仿宋_GB2312"/>
          <w:sz w:val="32"/>
          <w:szCs w:val="32"/>
          <w:shd w:val="clear" w:color="auto" w:fill="FFFFFF"/>
        </w:rPr>
        <w:t>： 深圳市龙</w:t>
      </w:r>
      <w:r>
        <w:rPr>
          <w:rFonts w:hint="eastAsia" w:ascii="仿宋_GB2312" w:hAnsi="仿宋_GB2312" w:cs="仿宋_GB2312"/>
          <w:sz w:val="32"/>
          <w:szCs w:val="32"/>
          <w:shd w:val="clear" w:color="auto" w:fill="FFFFFF"/>
          <w:lang w:val="en-US" w:eastAsia="zh-CN"/>
        </w:rPr>
        <w:t>祺商业运营管理有限公司美憬阁酒店分公司</w:t>
      </w:r>
      <w:r>
        <w:rPr>
          <w:rFonts w:hint="eastAsia" w:ascii="仿宋_GB2312" w:hAnsi="仿宋_GB2312" w:cs="仿宋_GB2312"/>
          <w:sz w:val="32"/>
          <w:szCs w:val="32"/>
          <w:shd w:val="clear" w:color="auto" w:fill="FFFFFF"/>
        </w:rPr>
        <w:t xml:space="preserve"> </w:t>
      </w:r>
    </w:p>
    <w:p w14:paraId="60DD814B">
      <w:pPr>
        <w:widowControl w:val="0"/>
        <w:adjustRightInd w:val="0"/>
        <w:snapToGrid w:val="0"/>
        <w:ind w:firstLine="640"/>
        <w:jc w:val="both"/>
        <w:rPr>
          <w:rFonts w:ascii="仿宋_GB2312" w:hAnsi="仿宋_GB2312" w:cs="仿宋_GB2312"/>
          <w:sz w:val="32"/>
          <w:szCs w:val="32"/>
        </w:rPr>
      </w:pPr>
      <w:r>
        <w:rPr>
          <w:rFonts w:hint="eastAsia" w:ascii="仿宋_GB2312" w:hAnsi="仿宋_GB2312" w:cs="仿宋_GB2312"/>
          <w:sz w:val="32"/>
          <w:szCs w:val="32"/>
        </w:rPr>
        <w:t>统一社会信用代码：91440300MADWUM898J</w:t>
      </w:r>
    </w:p>
    <w:p w14:paraId="6A74BDED">
      <w:pPr>
        <w:widowControl w:val="0"/>
        <w:adjustRightInd w:val="0"/>
        <w:snapToGrid w:val="0"/>
        <w:ind w:firstLine="640"/>
        <w:jc w:val="both"/>
        <w:rPr>
          <w:rFonts w:ascii="仿宋_GB2312" w:hAnsi="仿宋_GB2312" w:cs="仿宋_GB2312"/>
          <w:sz w:val="32"/>
          <w:szCs w:val="32"/>
        </w:rPr>
      </w:pPr>
      <w:r>
        <w:rPr>
          <w:rFonts w:hint="eastAsia" w:ascii="仿宋_GB2312" w:hAnsi="仿宋_GB2312" w:cs="仿宋_GB2312"/>
          <w:sz w:val="32"/>
          <w:szCs w:val="32"/>
        </w:rPr>
        <w:t>法定代表人</w:t>
      </w:r>
      <w:r>
        <w:rPr>
          <w:rFonts w:hint="eastAsia" w:ascii="仿宋_GB2312" w:hAnsi="仿宋_GB2312" w:cs="仿宋_GB2312"/>
          <w:sz w:val="32"/>
          <w:szCs w:val="32"/>
          <w:lang w:val="en-US" w:eastAsia="zh-CN"/>
        </w:rPr>
        <w:t>/负责人</w:t>
      </w:r>
      <w:r>
        <w:rPr>
          <w:rFonts w:hint="eastAsia" w:ascii="仿宋_GB2312" w:hAnsi="仿宋_GB2312" w:cs="仿宋_GB2312"/>
          <w:sz w:val="32"/>
          <w:szCs w:val="32"/>
        </w:rPr>
        <w:t>：</w:t>
      </w:r>
      <w:r>
        <w:rPr>
          <w:rFonts w:hint="eastAsia" w:ascii="仿宋_GB2312" w:hAnsi="仿宋_GB2312" w:cs="仿宋_GB2312"/>
          <w:sz w:val="32"/>
          <w:szCs w:val="32"/>
          <w:lang w:val="en-US" w:eastAsia="zh-CN"/>
        </w:rPr>
        <w:t>朱智凌</w:t>
      </w:r>
    </w:p>
    <w:p w14:paraId="62D5BEE1">
      <w:pPr>
        <w:widowControl w:val="0"/>
        <w:adjustRightInd w:val="0"/>
        <w:snapToGrid w:val="0"/>
        <w:ind w:firstLine="640"/>
        <w:jc w:val="both"/>
        <w:rPr>
          <w:rFonts w:ascii="仿宋_GB2312" w:hAnsi="仿宋_GB2312" w:cs="仿宋_GB2312"/>
          <w:sz w:val="32"/>
          <w:szCs w:val="32"/>
        </w:rPr>
      </w:pPr>
      <w:r>
        <w:rPr>
          <w:rFonts w:hint="eastAsia" w:ascii="仿宋_GB2312" w:hAnsi="仿宋_GB2312" w:cs="仿宋_GB2312"/>
          <w:sz w:val="32"/>
          <w:szCs w:val="32"/>
        </w:rPr>
        <w:t>地址：深圳市龙华区大浪街道新石社区浪韵路8号负2层、负1层-15层</w:t>
      </w:r>
    </w:p>
    <w:p w14:paraId="0117E11B">
      <w:pPr>
        <w:widowControl w:val="0"/>
        <w:adjustRightInd w:val="0"/>
        <w:snapToGrid w:val="0"/>
        <w:ind w:firstLine="640"/>
        <w:jc w:val="both"/>
        <w:rPr>
          <w:rFonts w:ascii="仿宋_GB2312" w:hAnsi="仿宋_GB2312" w:cs="仿宋_GB2312"/>
          <w:sz w:val="32"/>
          <w:szCs w:val="32"/>
        </w:rPr>
      </w:pPr>
      <w:r>
        <w:rPr>
          <w:rFonts w:hint="eastAsia" w:ascii="仿宋_GB2312" w:hAnsi="仿宋_GB2312" w:cs="仿宋_GB2312"/>
          <w:sz w:val="32"/>
          <w:szCs w:val="32"/>
        </w:rPr>
        <w:t xml:space="preserve"> </w:t>
      </w:r>
    </w:p>
    <w:p w14:paraId="5DAB38CC">
      <w:pPr>
        <w:widowControl w:val="0"/>
        <w:adjustRightInd w:val="0"/>
        <w:snapToGrid w:val="0"/>
        <w:ind w:firstLine="640"/>
        <w:jc w:val="both"/>
        <w:rPr>
          <w:rFonts w:ascii="仿宋_GB2312" w:hAnsi="仿宋_GB2312" w:cs="仿宋_GB2312"/>
          <w:sz w:val="32"/>
          <w:szCs w:val="32"/>
        </w:rPr>
      </w:pPr>
    </w:p>
    <w:p w14:paraId="674DB4F4">
      <w:pPr>
        <w:widowControl w:val="0"/>
        <w:adjustRightInd w:val="0"/>
        <w:snapToGrid w:val="0"/>
        <w:ind w:firstLine="640"/>
        <w:jc w:val="both"/>
        <w:rPr>
          <w:rFonts w:ascii="仿宋_GB2312" w:hAnsi="仿宋_GB2312" w:cs="仿宋_GB2312"/>
          <w:bCs/>
          <w:sz w:val="32"/>
          <w:szCs w:val="32"/>
          <w:u w:val="single"/>
          <w:shd w:val="clear" w:color="auto" w:fill="FFFFFF"/>
        </w:rPr>
      </w:pPr>
      <w:r>
        <w:rPr>
          <w:rFonts w:hint="eastAsia" w:ascii="仿宋_GB2312" w:hAnsi="仿宋_GB2312" w:cs="仿宋_GB2312"/>
          <w:sz w:val="32"/>
          <w:szCs w:val="32"/>
        </w:rPr>
        <w:t>乙方（卖方）</w:t>
      </w:r>
      <w:r>
        <w:rPr>
          <w:rFonts w:hint="eastAsia" w:ascii="仿宋_GB2312" w:hAnsi="仿宋_GB2312" w:cs="仿宋_GB2312"/>
          <w:sz w:val="32"/>
          <w:szCs w:val="32"/>
          <w:shd w:val="clear" w:color="auto" w:fill="FFFFFF"/>
        </w:rPr>
        <w:t>：</w:t>
      </w:r>
    </w:p>
    <w:p w14:paraId="126A580C">
      <w:pPr>
        <w:widowControl w:val="0"/>
        <w:adjustRightInd w:val="0"/>
        <w:snapToGrid w:val="0"/>
        <w:ind w:firstLine="640"/>
        <w:jc w:val="both"/>
        <w:rPr>
          <w:rFonts w:ascii="仿宋_GB2312" w:hAnsi="仿宋_GB2312" w:cs="仿宋_GB2312"/>
          <w:sz w:val="32"/>
          <w:szCs w:val="32"/>
        </w:rPr>
      </w:pPr>
      <w:r>
        <w:rPr>
          <w:rFonts w:hint="eastAsia" w:ascii="仿宋_GB2312" w:hAnsi="仿宋_GB2312" w:cs="仿宋_GB2312"/>
          <w:sz w:val="32"/>
          <w:szCs w:val="32"/>
        </w:rPr>
        <w:t>统一社会信用代码：</w:t>
      </w:r>
    </w:p>
    <w:p w14:paraId="29324505">
      <w:pPr>
        <w:widowControl w:val="0"/>
        <w:adjustRightInd w:val="0"/>
        <w:snapToGrid w:val="0"/>
        <w:ind w:firstLine="640"/>
        <w:jc w:val="both"/>
        <w:rPr>
          <w:rFonts w:ascii="仿宋_GB2312" w:hAnsi="仿宋_GB2312" w:cs="仿宋_GB2312"/>
          <w:sz w:val="32"/>
          <w:szCs w:val="32"/>
          <w:shd w:val="clear" w:color="auto" w:fill="FFFFFF"/>
        </w:rPr>
      </w:pPr>
      <w:r>
        <w:rPr>
          <w:rFonts w:hint="eastAsia" w:ascii="仿宋_GB2312" w:hAnsi="仿宋_GB2312" w:cs="仿宋_GB2312"/>
          <w:sz w:val="32"/>
          <w:szCs w:val="32"/>
        </w:rPr>
        <w:t>法定</w:t>
      </w:r>
      <w:r>
        <w:rPr>
          <w:rFonts w:hint="eastAsia" w:ascii="仿宋_GB2312" w:hAnsi="仿宋_GB2312" w:cs="仿宋_GB2312"/>
          <w:sz w:val="32"/>
          <w:szCs w:val="32"/>
          <w:shd w:val="clear" w:color="auto" w:fill="FFFFFF"/>
        </w:rPr>
        <w:t>代表人：</w:t>
      </w:r>
    </w:p>
    <w:p w14:paraId="2C1BB9AB">
      <w:pPr>
        <w:widowControl w:val="0"/>
        <w:adjustRightInd w:val="0"/>
        <w:snapToGrid w:val="0"/>
        <w:ind w:firstLine="640"/>
        <w:jc w:val="both"/>
        <w:rPr>
          <w:rFonts w:ascii="仿宋_GB2312" w:hAnsi="仿宋_GB2312" w:cs="仿宋_GB2312"/>
          <w:bCs/>
          <w:sz w:val="32"/>
          <w:szCs w:val="32"/>
          <w:u w:val="single"/>
          <w:shd w:val="clear" w:color="auto" w:fill="FFFFFF"/>
        </w:rPr>
      </w:pPr>
      <w:r>
        <w:rPr>
          <w:rFonts w:hint="eastAsia" w:ascii="仿宋_GB2312" w:hAnsi="仿宋_GB2312" w:cs="仿宋_GB2312"/>
          <w:sz w:val="32"/>
          <w:szCs w:val="32"/>
        </w:rPr>
        <w:t>地址</w:t>
      </w:r>
      <w:r>
        <w:rPr>
          <w:rFonts w:hint="eastAsia" w:ascii="仿宋_GB2312" w:hAnsi="仿宋_GB2312" w:cs="仿宋_GB2312"/>
          <w:sz w:val="32"/>
          <w:szCs w:val="32"/>
          <w:shd w:val="clear" w:color="auto" w:fill="FFFFFF"/>
        </w:rPr>
        <w:t>：</w:t>
      </w:r>
    </w:p>
    <w:p w14:paraId="0A8AE5ED">
      <w:pPr>
        <w:pStyle w:val="10"/>
        <w:widowControl w:val="0"/>
        <w:spacing w:before="0" w:beforeAutospacing="0" w:after="0" w:afterAutospacing="0"/>
        <w:ind w:firstLine="640"/>
        <w:jc w:val="both"/>
        <w:rPr>
          <w:rFonts w:ascii="仿宋_GB2312" w:hAnsi="仿宋_GB2312" w:cs="仿宋_GB2312"/>
          <w:color w:val="000000"/>
          <w:sz w:val="32"/>
          <w:szCs w:val="32"/>
          <w:u w:val="single"/>
        </w:rPr>
      </w:pPr>
    </w:p>
    <w:p w14:paraId="1E10D005">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sz w:val="32"/>
          <w:szCs w:val="32"/>
        </w:rPr>
        <w:t>根据《中华人民共和国民法典》及有关法律、法规规定，甲乙双方在平等互利的原则下，经友好协商，</w:t>
      </w:r>
      <w:r>
        <w:rPr>
          <w:rFonts w:hint="eastAsia" w:ascii="仿宋_GB2312" w:hAnsi="仿宋_GB2312" w:cs="仿宋_GB2312"/>
          <w:kern w:val="2"/>
          <w:sz w:val="32"/>
          <w:szCs w:val="32"/>
        </w:rPr>
        <w:t>就甲方向乙方采购</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货物</w:t>
      </w:r>
      <w:r>
        <w:rPr>
          <w:rFonts w:hint="eastAsia" w:ascii="仿宋_GB2312" w:hAnsi="仿宋_GB2312" w:cs="仿宋_GB2312"/>
          <w:kern w:val="2"/>
          <w:sz w:val="32"/>
          <w:szCs w:val="32"/>
        </w:rPr>
        <w:t>的有关事宜订立本合同，以资共同遵守。</w:t>
      </w:r>
    </w:p>
    <w:p w14:paraId="11D19D27">
      <w:pPr>
        <w:pStyle w:val="6"/>
        <w:keepLines w:val="0"/>
        <w:widowControl w:val="0"/>
        <w:ind w:firstLine="640"/>
        <w:jc w:val="both"/>
        <w:rPr>
          <w:rFonts w:ascii="黑体" w:hAnsi="黑体" w:cs="黑体"/>
          <w:szCs w:val="32"/>
        </w:rPr>
      </w:pPr>
      <w:r>
        <w:rPr>
          <w:rFonts w:hint="eastAsia" w:ascii="黑体" w:hAnsi="黑体" w:cs="黑体"/>
          <w:szCs w:val="32"/>
        </w:rPr>
        <w:t>第一条 货物与价款</w:t>
      </w:r>
    </w:p>
    <w:p w14:paraId="38B52A65">
      <w:pPr>
        <w:pStyle w:val="10"/>
        <w:widowControl w:val="0"/>
        <w:spacing w:before="0" w:beforeAutospacing="0" w:after="0" w:afterAutospacing="0"/>
        <w:ind w:left="480" w:leftChars="200" w:firstLine="0" w:firstLineChars="0"/>
        <w:jc w:val="both"/>
        <w:rPr>
          <w:rFonts w:ascii="仿宋_GB2312" w:hAnsi="仿宋_GB2312" w:cs="仿宋_GB2312"/>
          <w:color w:val="000000"/>
          <w:sz w:val="32"/>
          <w:szCs w:val="32"/>
        </w:rPr>
      </w:pPr>
      <w:r>
        <w:rPr>
          <w:rFonts w:hint="eastAsia" w:ascii="仿宋_GB2312" w:hAnsi="仿宋_GB2312" w:cs="仿宋_GB2312"/>
          <w:color w:val="000000"/>
          <w:sz w:val="32"/>
          <w:szCs w:val="32"/>
        </w:rPr>
        <w:t>1.货物信息与价款如下：</w:t>
      </w:r>
    </w:p>
    <w:tbl>
      <w:tblPr>
        <w:tblStyle w:val="11"/>
        <w:tblW w:w="4997"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723"/>
        <w:gridCol w:w="1841"/>
        <w:gridCol w:w="1805"/>
        <w:gridCol w:w="1012"/>
        <w:gridCol w:w="1232"/>
        <w:gridCol w:w="1305"/>
        <w:gridCol w:w="931"/>
      </w:tblGrid>
      <w:tr w14:paraId="7958F42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5A7FB2D0">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序号</w:t>
            </w:r>
          </w:p>
        </w:tc>
        <w:tc>
          <w:tcPr>
            <w:tcW w:w="1841" w:type="dxa"/>
            <w:tcBorders>
              <w:top w:val="single" w:color="000000" w:sz="6" w:space="0"/>
              <w:left w:val="single" w:color="000000" w:sz="6" w:space="0"/>
              <w:bottom w:val="single" w:color="000000" w:sz="6" w:space="0"/>
              <w:right w:val="single" w:color="000000" w:sz="6" w:space="0"/>
            </w:tcBorders>
          </w:tcPr>
          <w:p w14:paraId="73292E56">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货物名称</w:t>
            </w:r>
          </w:p>
        </w:tc>
        <w:tc>
          <w:tcPr>
            <w:tcW w:w="1805" w:type="dxa"/>
            <w:tcBorders>
              <w:top w:val="single" w:color="000000" w:sz="6" w:space="0"/>
              <w:left w:val="single" w:color="000000" w:sz="6" w:space="0"/>
              <w:bottom w:val="single" w:color="000000" w:sz="6" w:space="0"/>
              <w:right w:val="single" w:color="000000" w:sz="6" w:space="0"/>
            </w:tcBorders>
          </w:tcPr>
          <w:p w14:paraId="73F4041B">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规格、产地等</w:t>
            </w:r>
          </w:p>
        </w:tc>
        <w:tc>
          <w:tcPr>
            <w:tcW w:w="1012" w:type="dxa"/>
            <w:tcBorders>
              <w:top w:val="single" w:color="000000" w:sz="6" w:space="0"/>
              <w:left w:val="single" w:color="000000" w:sz="6" w:space="0"/>
              <w:bottom w:val="single" w:color="000000" w:sz="6" w:space="0"/>
              <w:right w:val="single" w:color="000000" w:sz="6" w:space="0"/>
            </w:tcBorders>
          </w:tcPr>
          <w:p w14:paraId="2E850A11">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数量</w:t>
            </w:r>
          </w:p>
        </w:tc>
        <w:tc>
          <w:tcPr>
            <w:tcW w:w="1232" w:type="dxa"/>
            <w:tcBorders>
              <w:top w:val="single" w:color="000000" w:sz="6" w:space="0"/>
              <w:left w:val="single" w:color="000000" w:sz="6" w:space="0"/>
              <w:bottom w:val="single" w:color="000000" w:sz="6" w:space="0"/>
              <w:right w:val="single" w:color="000000" w:sz="6" w:space="0"/>
            </w:tcBorders>
          </w:tcPr>
          <w:p w14:paraId="1CB79D08">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单价（元）</w:t>
            </w:r>
          </w:p>
        </w:tc>
        <w:tc>
          <w:tcPr>
            <w:tcW w:w="1305" w:type="dxa"/>
            <w:tcBorders>
              <w:top w:val="single" w:color="000000" w:sz="6" w:space="0"/>
              <w:left w:val="single" w:color="000000" w:sz="6" w:space="0"/>
              <w:bottom w:val="single" w:color="000000" w:sz="6" w:space="0"/>
              <w:right w:val="single" w:color="000000" w:sz="6" w:space="0"/>
            </w:tcBorders>
          </w:tcPr>
          <w:p w14:paraId="1F1FD82E">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小计（元）</w:t>
            </w:r>
          </w:p>
        </w:tc>
        <w:tc>
          <w:tcPr>
            <w:tcW w:w="931" w:type="dxa"/>
            <w:tcBorders>
              <w:top w:val="single" w:color="000000" w:sz="6" w:space="0"/>
              <w:left w:val="single" w:color="000000" w:sz="6" w:space="0"/>
              <w:bottom w:val="single" w:color="000000" w:sz="6" w:space="0"/>
              <w:right w:val="single" w:color="000000" w:sz="6" w:space="0"/>
            </w:tcBorders>
          </w:tcPr>
          <w:p w14:paraId="752E26AB">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备注</w:t>
            </w:r>
          </w:p>
        </w:tc>
      </w:tr>
      <w:tr w14:paraId="077EEF8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592B4749">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41" w:type="dxa"/>
            <w:tcBorders>
              <w:top w:val="single" w:color="000000" w:sz="6" w:space="0"/>
              <w:left w:val="single" w:color="000000" w:sz="6" w:space="0"/>
              <w:bottom w:val="single" w:color="000000" w:sz="6" w:space="0"/>
              <w:right w:val="single" w:color="000000" w:sz="6" w:space="0"/>
            </w:tcBorders>
          </w:tcPr>
          <w:p w14:paraId="5B664032">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05" w:type="dxa"/>
            <w:tcBorders>
              <w:top w:val="single" w:color="000000" w:sz="6" w:space="0"/>
              <w:left w:val="single" w:color="000000" w:sz="6" w:space="0"/>
              <w:bottom w:val="single" w:color="000000" w:sz="6" w:space="0"/>
              <w:right w:val="single" w:color="000000" w:sz="6" w:space="0"/>
            </w:tcBorders>
          </w:tcPr>
          <w:p w14:paraId="0109644E">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012" w:type="dxa"/>
            <w:tcBorders>
              <w:top w:val="single" w:color="000000" w:sz="6" w:space="0"/>
              <w:left w:val="single" w:color="000000" w:sz="6" w:space="0"/>
              <w:bottom w:val="single" w:color="000000" w:sz="6" w:space="0"/>
              <w:right w:val="single" w:color="000000" w:sz="6" w:space="0"/>
            </w:tcBorders>
          </w:tcPr>
          <w:p w14:paraId="33106129">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232" w:type="dxa"/>
            <w:tcBorders>
              <w:top w:val="single" w:color="000000" w:sz="6" w:space="0"/>
              <w:left w:val="single" w:color="000000" w:sz="6" w:space="0"/>
              <w:bottom w:val="single" w:color="000000" w:sz="6" w:space="0"/>
              <w:right w:val="single" w:color="000000" w:sz="6" w:space="0"/>
            </w:tcBorders>
          </w:tcPr>
          <w:p w14:paraId="5B965073">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305" w:type="dxa"/>
            <w:tcBorders>
              <w:top w:val="single" w:color="000000" w:sz="6" w:space="0"/>
              <w:left w:val="single" w:color="000000" w:sz="6" w:space="0"/>
              <w:bottom w:val="single" w:color="000000" w:sz="6" w:space="0"/>
              <w:right w:val="single" w:color="000000" w:sz="6" w:space="0"/>
            </w:tcBorders>
          </w:tcPr>
          <w:p w14:paraId="6D480DC5">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931" w:type="dxa"/>
            <w:tcBorders>
              <w:top w:val="single" w:color="000000" w:sz="6" w:space="0"/>
              <w:left w:val="single" w:color="000000" w:sz="6" w:space="0"/>
              <w:bottom w:val="single" w:color="000000" w:sz="6" w:space="0"/>
              <w:right w:val="single" w:color="000000" w:sz="6" w:space="0"/>
            </w:tcBorders>
          </w:tcPr>
          <w:p w14:paraId="523966AB">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r>
      <w:tr w14:paraId="4F4098C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56250420">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41" w:type="dxa"/>
            <w:tcBorders>
              <w:top w:val="single" w:color="000000" w:sz="6" w:space="0"/>
              <w:left w:val="single" w:color="000000" w:sz="6" w:space="0"/>
              <w:bottom w:val="single" w:color="000000" w:sz="6" w:space="0"/>
              <w:right w:val="single" w:color="000000" w:sz="6" w:space="0"/>
            </w:tcBorders>
          </w:tcPr>
          <w:p w14:paraId="583F0B18">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05" w:type="dxa"/>
            <w:tcBorders>
              <w:top w:val="single" w:color="000000" w:sz="6" w:space="0"/>
              <w:left w:val="single" w:color="000000" w:sz="6" w:space="0"/>
              <w:bottom w:val="single" w:color="000000" w:sz="6" w:space="0"/>
              <w:right w:val="single" w:color="000000" w:sz="6" w:space="0"/>
            </w:tcBorders>
          </w:tcPr>
          <w:p w14:paraId="738FCFE7">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012" w:type="dxa"/>
            <w:tcBorders>
              <w:top w:val="single" w:color="000000" w:sz="6" w:space="0"/>
              <w:left w:val="single" w:color="000000" w:sz="6" w:space="0"/>
              <w:bottom w:val="single" w:color="000000" w:sz="6" w:space="0"/>
              <w:right w:val="single" w:color="000000" w:sz="6" w:space="0"/>
            </w:tcBorders>
          </w:tcPr>
          <w:p w14:paraId="6AE47A1D">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232" w:type="dxa"/>
            <w:tcBorders>
              <w:top w:val="single" w:color="000000" w:sz="6" w:space="0"/>
              <w:left w:val="single" w:color="000000" w:sz="6" w:space="0"/>
              <w:bottom w:val="single" w:color="000000" w:sz="6" w:space="0"/>
              <w:right w:val="single" w:color="000000" w:sz="6" w:space="0"/>
            </w:tcBorders>
          </w:tcPr>
          <w:p w14:paraId="4FF2B1E1">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305" w:type="dxa"/>
            <w:tcBorders>
              <w:top w:val="single" w:color="000000" w:sz="6" w:space="0"/>
              <w:left w:val="single" w:color="000000" w:sz="6" w:space="0"/>
              <w:bottom w:val="single" w:color="000000" w:sz="6" w:space="0"/>
              <w:right w:val="single" w:color="000000" w:sz="6" w:space="0"/>
            </w:tcBorders>
          </w:tcPr>
          <w:p w14:paraId="16B664CC">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931" w:type="dxa"/>
            <w:tcBorders>
              <w:top w:val="single" w:color="000000" w:sz="6" w:space="0"/>
              <w:left w:val="single" w:color="000000" w:sz="6" w:space="0"/>
              <w:bottom w:val="single" w:color="000000" w:sz="6" w:space="0"/>
              <w:right w:val="single" w:color="000000" w:sz="6" w:space="0"/>
            </w:tcBorders>
          </w:tcPr>
          <w:p w14:paraId="28FE785C">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r>
      <w:tr w14:paraId="255C2AB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03A815F9">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41" w:type="dxa"/>
            <w:tcBorders>
              <w:top w:val="single" w:color="000000" w:sz="6" w:space="0"/>
              <w:left w:val="single" w:color="000000" w:sz="6" w:space="0"/>
              <w:bottom w:val="single" w:color="000000" w:sz="6" w:space="0"/>
              <w:right w:val="single" w:color="000000" w:sz="6" w:space="0"/>
            </w:tcBorders>
          </w:tcPr>
          <w:p w14:paraId="694C4AEA">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05" w:type="dxa"/>
            <w:tcBorders>
              <w:top w:val="single" w:color="000000" w:sz="6" w:space="0"/>
              <w:left w:val="single" w:color="000000" w:sz="6" w:space="0"/>
              <w:bottom w:val="single" w:color="000000" w:sz="6" w:space="0"/>
              <w:right w:val="single" w:color="000000" w:sz="6" w:space="0"/>
            </w:tcBorders>
          </w:tcPr>
          <w:p w14:paraId="6C7B47CF">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012" w:type="dxa"/>
            <w:tcBorders>
              <w:top w:val="single" w:color="000000" w:sz="6" w:space="0"/>
              <w:left w:val="single" w:color="000000" w:sz="6" w:space="0"/>
              <w:bottom w:val="single" w:color="000000" w:sz="6" w:space="0"/>
              <w:right w:val="single" w:color="000000" w:sz="6" w:space="0"/>
            </w:tcBorders>
          </w:tcPr>
          <w:p w14:paraId="2DF28AFF">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232" w:type="dxa"/>
            <w:tcBorders>
              <w:top w:val="single" w:color="000000" w:sz="6" w:space="0"/>
              <w:left w:val="single" w:color="000000" w:sz="6" w:space="0"/>
              <w:bottom w:val="single" w:color="000000" w:sz="6" w:space="0"/>
              <w:right w:val="single" w:color="000000" w:sz="6" w:space="0"/>
            </w:tcBorders>
          </w:tcPr>
          <w:p w14:paraId="667AAD8C">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305" w:type="dxa"/>
            <w:tcBorders>
              <w:top w:val="single" w:color="000000" w:sz="6" w:space="0"/>
              <w:left w:val="single" w:color="000000" w:sz="6" w:space="0"/>
              <w:bottom w:val="single" w:color="000000" w:sz="6" w:space="0"/>
              <w:right w:val="single" w:color="000000" w:sz="6" w:space="0"/>
            </w:tcBorders>
          </w:tcPr>
          <w:p w14:paraId="50B17DB5">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931" w:type="dxa"/>
            <w:tcBorders>
              <w:top w:val="single" w:color="000000" w:sz="6" w:space="0"/>
              <w:left w:val="single" w:color="000000" w:sz="6" w:space="0"/>
              <w:bottom w:val="single" w:color="000000" w:sz="6" w:space="0"/>
              <w:right w:val="single" w:color="000000" w:sz="6" w:space="0"/>
            </w:tcBorders>
          </w:tcPr>
          <w:p w14:paraId="6EF2F157">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r>
      <w:tr w14:paraId="56B3335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7AF73936">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41" w:type="dxa"/>
            <w:tcBorders>
              <w:top w:val="single" w:color="000000" w:sz="6" w:space="0"/>
              <w:left w:val="single" w:color="000000" w:sz="6" w:space="0"/>
              <w:bottom w:val="single" w:color="000000" w:sz="6" w:space="0"/>
              <w:right w:val="single" w:color="000000" w:sz="6" w:space="0"/>
            </w:tcBorders>
          </w:tcPr>
          <w:p w14:paraId="7B6A367B">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05" w:type="dxa"/>
            <w:tcBorders>
              <w:top w:val="single" w:color="000000" w:sz="6" w:space="0"/>
              <w:left w:val="single" w:color="000000" w:sz="6" w:space="0"/>
              <w:bottom w:val="single" w:color="000000" w:sz="6" w:space="0"/>
              <w:right w:val="single" w:color="000000" w:sz="6" w:space="0"/>
            </w:tcBorders>
          </w:tcPr>
          <w:p w14:paraId="4029BA93">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012" w:type="dxa"/>
            <w:tcBorders>
              <w:top w:val="single" w:color="000000" w:sz="6" w:space="0"/>
              <w:left w:val="single" w:color="000000" w:sz="6" w:space="0"/>
              <w:bottom w:val="single" w:color="000000" w:sz="6" w:space="0"/>
              <w:right w:val="single" w:color="000000" w:sz="6" w:space="0"/>
            </w:tcBorders>
          </w:tcPr>
          <w:p w14:paraId="1AAE70A6">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232" w:type="dxa"/>
            <w:tcBorders>
              <w:top w:val="single" w:color="000000" w:sz="6" w:space="0"/>
              <w:left w:val="single" w:color="000000" w:sz="6" w:space="0"/>
              <w:bottom w:val="single" w:color="000000" w:sz="6" w:space="0"/>
              <w:right w:val="single" w:color="000000" w:sz="6" w:space="0"/>
            </w:tcBorders>
          </w:tcPr>
          <w:p w14:paraId="7FC4738E">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305" w:type="dxa"/>
            <w:tcBorders>
              <w:top w:val="single" w:color="000000" w:sz="6" w:space="0"/>
              <w:left w:val="single" w:color="000000" w:sz="6" w:space="0"/>
              <w:bottom w:val="single" w:color="000000" w:sz="6" w:space="0"/>
              <w:right w:val="single" w:color="000000" w:sz="6" w:space="0"/>
            </w:tcBorders>
          </w:tcPr>
          <w:p w14:paraId="71BBB843">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931" w:type="dxa"/>
            <w:tcBorders>
              <w:top w:val="single" w:color="000000" w:sz="6" w:space="0"/>
              <w:left w:val="single" w:color="000000" w:sz="6" w:space="0"/>
              <w:bottom w:val="single" w:color="000000" w:sz="6" w:space="0"/>
              <w:right w:val="single" w:color="000000" w:sz="6" w:space="0"/>
            </w:tcBorders>
          </w:tcPr>
          <w:p w14:paraId="0AD869AB">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r>
      <w:tr w14:paraId="228AA78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6F527600">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8126" w:type="dxa"/>
            <w:gridSpan w:val="6"/>
            <w:tcBorders>
              <w:top w:val="single" w:color="000000" w:sz="6" w:space="0"/>
              <w:left w:val="single" w:color="000000" w:sz="6" w:space="0"/>
              <w:bottom w:val="single" w:color="000000" w:sz="6" w:space="0"/>
              <w:right w:val="single" w:color="000000" w:sz="6" w:space="0"/>
            </w:tcBorders>
          </w:tcPr>
          <w:p w14:paraId="5547433C">
            <w:pPr>
              <w:pStyle w:val="10"/>
              <w:widowControl w:val="0"/>
              <w:spacing w:before="0" w:beforeAutospacing="0" w:after="0" w:afterAutospacing="0"/>
              <w:ind w:firstLine="0" w:firstLineChars="0"/>
              <w:jc w:val="both"/>
              <w:rPr>
                <w:rFonts w:ascii="仿宋_GB2312" w:hAnsi="仿宋_GB2312" w:cs="仿宋_GB2312"/>
                <w:color w:val="000000"/>
                <w:sz w:val="28"/>
                <w:szCs w:val="28"/>
              </w:rPr>
            </w:pPr>
            <w:r>
              <w:rPr>
                <w:rFonts w:hint="eastAsia" w:ascii="仿宋_GB2312" w:hAnsi="仿宋_GB2312" w:cs="仿宋_GB2312"/>
                <w:color w:val="000000"/>
                <w:sz w:val="28"/>
                <w:szCs w:val="28"/>
              </w:rPr>
              <w:t>总计（合同总价款）：￥</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（大写：</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w:t>
            </w:r>
          </w:p>
        </w:tc>
      </w:tr>
    </w:tbl>
    <w:p w14:paraId="6F174E4F">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1.1付款方式</w:t>
      </w:r>
    </w:p>
    <w:p w14:paraId="2B110878">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1.1.1首笔款：￥</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（大写：</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），于本合同签订后</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个工作日内预付3</w:t>
      </w:r>
      <w:r>
        <w:rPr>
          <w:rFonts w:ascii="仿宋_GB2312" w:hAnsi="仿宋_GB2312" w:cs="仿宋_GB2312"/>
          <w:color w:val="000000"/>
          <w:sz w:val="32"/>
          <w:szCs w:val="32"/>
        </w:rPr>
        <w:t>0%</w:t>
      </w:r>
      <w:r>
        <w:rPr>
          <w:rFonts w:hint="eastAsia" w:ascii="仿宋_GB2312" w:hAnsi="仿宋_GB2312" w:cs="仿宋_GB2312"/>
          <w:color w:val="000000"/>
          <w:sz w:val="32"/>
          <w:szCs w:val="32"/>
        </w:rPr>
        <w:t>货款。</w:t>
      </w:r>
    </w:p>
    <w:p w14:paraId="0A9537A8">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1.1.2尾款：乙方交付货物并经甲方验收通过后的</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个工作日内，甲方付清全部合同价款的</w:t>
      </w:r>
      <w:r>
        <w:rPr>
          <w:rFonts w:hint="eastAsia" w:ascii="仿宋_GB2312" w:hAnsi="仿宋_GB2312" w:cs="仿宋_GB2312"/>
          <w:color w:val="000000"/>
          <w:sz w:val="32"/>
          <w:szCs w:val="32"/>
          <w:lang w:val="en-US" w:eastAsia="zh-CN"/>
        </w:rPr>
        <w:t>70</w:t>
      </w:r>
      <w:r>
        <w:rPr>
          <w:rFonts w:ascii="仿宋_GB2312" w:hAnsi="仿宋_GB2312" w:cs="仿宋_GB2312"/>
          <w:color w:val="000000"/>
          <w:sz w:val="32"/>
          <w:szCs w:val="32"/>
        </w:rPr>
        <w:t>%</w:t>
      </w:r>
      <w:r>
        <w:rPr>
          <w:rFonts w:hint="eastAsia" w:ascii="仿宋_GB2312" w:hAnsi="仿宋_GB2312" w:cs="仿宋_GB2312"/>
          <w:color w:val="000000"/>
          <w:sz w:val="32"/>
          <w:szCs w:val="32"/>
        </w:rPr>
        <w:t>。</w:t>
      </w:r>
    </w:p>
    <w:p w14:paraId="5404933C">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1.2除本合同明确约定的以外，甲方无需就本合同的履行向乙方支付其他价款或费用。</w:t>
      </w:r>
    </w:p>
    <w:p w14:paraId="6910718D">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1.3乙方指定收款账号：</w:t>
      </w:r>
    </w:p>
    <w:p w14:paraId="105C1224">
      <w:pPr>
        <w:pStyle w:val="10"/>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户名： </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bookmarkStart w:id="0" w:name="_GoBack"/>
      <w:bookmarkEnd w:id="0"/>
    </w:p>
    <w:p w14:paraId="3263D8EA">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账号：</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w:t>
      </w:r>
    </w:p>
    <w:p w14:paraId="7D9DBD49">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开户行：</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14:paraId="7C6D7623">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1.4发票</w:t>
      </w:r>
    </w:p>
    <w:p w14:paraId="74148124">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本合同中约定的价款或交易金额为含税金额，乙方应向甲方提供正规足额增值税专用发票。发票信息如下：</w:t>
      </w:r>
    </w:p>
    <w:p w14:paraId="03D1185D">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名称： </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w:t>
      </w:r>
    </w:p>
    <w:p w14:paraId="696ED786">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纳税人识别号：</w:t>
      </w:r>
      <w:r>
        <w:rPr>
          <w:rFonts w:hint="eastAsia" w:ascii="仿宋_GB2312" w:hAnsi="仿宋_GB2312" w:cs="仿宋_GB2312"/>
          <w:color w:val="000000"/>
          <w:sz w:val="32"/>
          <w:szCs w:val="32"/>
          <w:u w:val="single"/>
        </w:rPr>
        <w:t xml:space="preserve">                   </w:t>
      </w:r>
    </w:p>
    <w:p w14:paraId="18A97FBC">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地址、电话： </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14:paraId="3D1094CC">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开户行及账号： </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w:t>
      </w:r>
    </w:p>
    <w:p w14:paraId="6955E385">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货物或应税劳务名称： </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w:t>
      </w:r>
    </w:p>
    <w:p w14:paraId="3759DBF3">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增值税率： </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w:t>
      </w:r>
    </w:p>
    <w:p w14:paraId="1BE50784">
      <w:pPr>
        <w:pStyle w:val="6"/>
        <w:keepLines w:val="0"/>
        <w:widowControl w:val="0"/>
        <w:ind w:firstLine="640"/>
        <w:jc w:val="both"/>
        <w:rPr>
          <w:rFonts w:ascii="黑体" w:hAnsi="黑体" w:cs="黑体"/>
          <w:szCs w:val="32"/>
        </w:rPr>
      </w:pPr>
      <w:r>
        <w:rPr>
          <w:rFonts w:hint="eastAsia" w:ascii="黑体" w:hAnsi="黑体" w:cs="黑体"/>
          <w:szCs w:val="32"/>
        </w:rPr>
        <w:t>第二条 质量</w:t>
      </w:r>
    </w:p>
    <w:p w14:paraId="4D0F6A5A">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1.按该货物所适用的国家标准（强制性或推荐性标准）、行业标准、地方标准、生产企业标准执行，并以其中最高的标准为准。</w:t>
      </w:r>
    </w:p>
    <w:p w14:paraId="2BCA9CF6">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虽有上述标准，但双方对质量有特殊或更高要求的，应按特殊或更高要求执行，无特别要求的，按上述标准执行。 </w:t>
      </w:r>
    </w:p>
    <w:p w14:paraId="228E7E86">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2.质量应同时符合乙方所提供的产品说明书或相关说明文档中所列明的标准。</w:t>
      </w:r>
    </w:p>
    <w:p w14:paraId="7947BB00">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3.乙方保证所提供的货物是全新、优质、无损的，并在各个方面符合本合同约定及法定的质量、规格、性能要求。</w:t>
      </w:r>
    </w:p>
    <w:p w14:paraId="719A6F8B">
      <w:pPr>
        <w:pStyle w:val="6"/>
        <w:keepLines w:val="0"/>
        <w:widowControl w:val="0"/>
        <w:ind w:firstLine="640"/>
        <w:jc w:val="both"/>
        <w:rPr>
          <w:rFonts w:ascii="黑体" w:hAnsi="黑体" w:cs="黑体"/>
          <w:szCs w:val="32"/>
        </w:rPr>
      </w:pPr>
      <w:r>
        <w:rPr>
          <w:rFonts w:hint="eastAsia" w:ascii="黑体" w:hAnsi="黑体" w:cs="黑体"/>
          <w:szCs w:val="32"/>
        </w:rPr>
        <w:t>第三条 交货</w:t>
      </w:r>
    </w:p>
    <w:p w14:paraId="594D8368">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1.交货时间：</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年</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月</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日前。</w:t>
      </w:r>
    </w:p>
    <w:p w14:paraId="040755E6">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2.交货地点：甲方指定地点</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w:t>
      </w:r>
    </w:p>
    <w:p w14:paraId="30C0F9E2">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3.验收：交货当时进行外观、数量验收；交货后</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日内进行质量验收。验收期内未提出异议的，视为质量无问题、验收通过。</w:t>
      </w:r>
    </w:p>
    <w:p w14:paraId="556B4E39">
      <w:pPr>
        <w:pStyle w:val="6"/>
        <w:keepLines w:val="0"/>
        <w:widowControl w:val="0"/>
        <w:ind w:firstLine="640"/>
        <w:jc w:val="both"/>
        <w:rPr>
          <w:rFonts w:ascii="黑体" w:hAnsi="黑体" w:cs="黑体"/>
          <w:szCs w:val="32"/>
        </w:rPr>
      </w:pPr>
      <w:r>
        <w:rPr>
          <w:rFonts w:hint="eastAsia" w:ascii="黑体" w:hAnsi="黑体" w:cs="黑体"/>
          <w:szCs w:val="32"/>
        </w:rPr>
        <w:t>第四条 质保期</w:t>
      </w:r>
    </w:p>
    <w:p w14:paraId="529E7B85">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1.质保期为</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个月，自货物通过甲方验收之日起算。</w:t>
      </w:r>
    </w:p>
    <w:p w14:paraId="09F3E5B5">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2.本合同约定的质保期期限短于乙方承诺或国家、行业标准的，以较高要求为准。</w:t>
      </w:r>
    </w:p>
    <w:p w14:paraId="0AB890F7">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3.质保期内，如货物不能正常使用，乙方应按甲方要求免费为其更换或修理并承担相应费用。</w:t>
      </w:r>
    </w:p>
    <w:p w14:paraId="776655D7">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4.发生前述情形的，质保期自更换或修理完毕后重新计算。</w:t>
      </w:r>
    </w:p>
    <w:p w14:paraId="7AD811D9">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5.质保期满后，乙方应按甲方要求提供修理及更换零部件的服务，乙方仅收取人工费用与零部件费用，不收取其他报酬。</w:t>
      </w:r>
    </w:p>
    <w:p w14:paraId="2DDF6680">
      <w:pPr>
        <w:pStyle w:val="6"/>
        <w:keepLines w:val="0"/>
        <w:widowControl w:val="0"/>
        <w:ind w:firstLine="640"/>
        <w:jc w:val="both"/>
        <w:rPr>
          <w:rFonts w:ascii="黑体" w:hAnsi="黑体" w:cs="黑体"/>
          <w:szCs w:val="32"/>
        </w:rPr>
      </w:pPr>
      <w:r>
        <w:rPr>
          <w:rFonts w:hint="eastAsia" w:ascii="黑体" w:hAnsi="黑体" w:cs="黑体"/>
          <w:szCs w:val="32"/>
        </w:rPr>
        <w:t>第五条 违约责任</w:t>
      </w:r>
    </w:p>
    <w:p w14:paraId="4FBD5CB7">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1.甲方逾期付款的，每逾期一天，应按逾期金额的</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%向乙方支付违约金。逾期超过15日的，乙方有权解除本合同。</w:t>
      </w:r>
    </w:p>
    <w:p w14:paraId="3EC5A64E">
      <w:pPr>
        <w:pStyle w:val="10"/>
        <w:widowControl w:val="0"/>
        <w:wordWrap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2.乙方逾期交货的，每逾期一天，应按相应货款金额的</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%向甲方支付违约金。甲方有权从应向乙方支付的货款金额中扣除该违约金。逾期超过15天的，甲方有权解除本合同。</w:t>
      </w:r>
    </w:p>
    <w:p w14:paraId="52F0CA32">
      <w:pPr>
        <w:pStyle w:val="10"/>
        <w:widowControl w:val="0"/>
        <w:spacing w:before="0" w:beforeAutospacing="0" w:after="0" w:afterAutospacing="0"/>
        <w:ind w:firstLine="640"/>
        <w:jc w:val="both"/>
      </w:pPr>
      <w:r>
        <w:rPr>
          <w:rFonts w:hint="eastAsia" w:ascii="仿宋_GB2312" w:hAnsi="仿宋_GB2312" w:cs="仿宋_GB2312"/>
          <w:color w:val="000000"/>
          <w:sz w:val="32"/>
          <w:szCs w:val="32"/>
        </w:rPr>
        <w:t>3.乙方违约提前解除本合同或因乙方违约导致甲方解除本合同的，甲方有权要求乙方退还甲方支付的全部款项，并要求乙方按照</w:t>
      </w:r>
      <w:r>
        <w:rPr>
          <w:rFonts w:hint="eastAsia" w:ascii="仿宋_GB2312" w:hAnsi="仿宋_GB2312" w:cs="仿宋_GB2312"/>
          <w:color w:val="000000"/>
          <w:sz w:val="32"/>
          <w:szCs w:val="32"/>
          <w:u w:val="single"/>
        </w:rPr>
        <w:t>合同价款的20%</w:t>
      </w:r>
      <w:r>
        <w:rPr>
          <w:rFonts w:hint="eastAsia" w:ascii="仿宋_GB2312" w:hAnsi="仿宋_GB2312" w:cs="仿宋_GB2312"/>
          <w:color w:val="000000"/>
          <w:sz w:val="32"/>
          <w:szCs w:val="32"/>
        </w:rPr>
        <w:t>向甲方支付违约金。违约金不足以赔偿甲方损失的，乙方还应赔偿甲方全部损失。 </w:t>
      </w:r>
    </w:p>
    <w:p w14:paraId="780E1AEE">
      <w:pPr>
        <w:pStyle w:val="6"/>
        <w:keepLines w:val="0"/>
        <w:widowControl w:val="0"/>
        <w:ind w:firstLine="640"/>
        <w:jc w:val="both"/>
        <w:rPr>
          <w:rFonts w:ascii="黑体" w:hAnsi="黑体" w:cs="黑体"/>
          <w:szCs w:val="32"/>
        </w:rPr>
      </w:pPr>
      <w:r>
        <w:rPr>
          <w:rFonts w:hint="eastAsia" w:ascii="黑体" w:hAnsi="黑体" w:cs="黑体"/>
          <w:szCs w:val="32"/>
        </w:rPr>
        <w:t>第六条 合同联系方式</w:t>
      </w:r>
    </w:p>
    <w:p w14:paraId="5EDF2DFF">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1.为更好的履行本合同，双方提供如下联系方式：</w:t>
      </w:r>
    </w:p>
    <w:p w14:paraId="27CD636F">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1.1甲方联系方式</w:t>
      </w:r>
    </w:p>
    <w:p w14:paraId="3CF617E0">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联系人：</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14:paraId="3A13A805">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地址：</w:t>
      </w:r>
      <w:r>
        <w:rPr>
          <w:rFonts w:hint="eastAsia" w:ascii="仿宋_GB2312" w:hAnsi="仿宋_GB2312" w:cs="仿宋_GB2312"/>
          <w:color w:val="000000"/>
          <w:sz w:val="32"/>
          <w:szCs w:val="32"/>
          <w:u w:val="single"/>
        </w:rPr>
        <w:t xml:space="preserve">                      </w:t>
      </w:r>
    </w:p>
    <w:p w14:paraId="693A9D15">
      <w:pPr>
        <w:pStyle w:val="10"/>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手机：</w:t>
      </w:r>
      <w:r>
        <w:rPr>
          <w:rFonts w:hint="eastAsia" w:ascii="仿宋_GB2312" w:hAnsi="仿宋_GB2312" w:cs="仿宋_GB2312"/>
          <w:color w:val="000000"/>
          <w:sz w:val="32"/>
          <w:szCs w:val="32"/>
          <w:u w:val="single"/>
        </w:rPr>
        <w:t xml:space="preserve">                      </w:t>
      </w:r>
    </w:p>
    <w:p w14:paraId="054D1C00">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微信：</w:t>
      </w:r>
      <w:r>
        <w:rPr>
          <w:rFonts w:hint="eastAsia" w:ascii="仿宋_GB2312" w:hAnsi="仿宋_GB2312" w:cs="仿宋_GB2312"/>
          <w:color w:val="000000"/>
          <w:sz w:val="32"/>
          <w:szCs w:val="32"/>
          <w:u w:val="single"/>
        </w:rPr>
        <w:t xml:space="preserve">                      </w:t>
      </w:r>
    </w:p>
    <w:p w14:paraId="0F1C5E19">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电子邮箱：</w:t>
      </w:r>
      <w:r>
        <w:rPr>
          <w:rFonts w:hint="eastAsia" w:ascii="仿宋_GB2312" w:hAnsi="仿宋_GB2312" w:cs="仿宋_GB2312"/>
          <w:color w:val="000000"/>
          <w:sz w:val="32"/>
          <w:szCs w:val="32"/>
          <w:u w:val="single"/>
        </w:rPr>
        <w:t xml:space="preserve">                  </w:t>
      </w:r>
    </w:p>
    <w:p w14:paraId="276DFB2A">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1.2乙方联系方式</w:t>
      </w:r>
    </w:p>
    <w:p w14:paraId="1DC29380">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联系人：</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14:paraId="63365476">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地址：</w:t>
      </w:r>
      <w:r>
        <w:rPr>
          <w:rFonts w:hint="eastAsia" w:ascii="仿宋_GB2312" w:hAnsi="仿宋_GB2312" w:cs="仿宋_GB2312"/>
          <w:color w:val="000000"/>
          <w:sz w:val="32"/>
          <w:szCs w:val="32"/>
          <w:u w:val="single"/>
        </w:rPr>
        <w:t xml:space="preserve">                      </w:t>
      </w:r>
    </w:p>
    <w:p w14:paraId="6A458959">
      <w:pPr>
        <w:pStyle w:val="10"/>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手机：</w:t>
      </w:r>
      <w:r>
        <w:rPr>
          <w:rFonts w:hint="eastAsia" w:ascii="仿宋_GB2312" w:hAnsi="仿宋_GB2312" w:cs="仿宋_GB2312"/>
          <w:color w:val="000000"/>
          <w:sz w:val="32"/>
          <w:szCs w:val="32"/>
          <w:u w:val="single"/>
        </w:rPr>
        <w:t xml:space="preserve">                      </w:t>
      </w:r>
    </w:p>
    <w:p w14:paraId="5739D415">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微信：</w:t>
      </w:r>
      <w:r>
        <w:rPr>
          <w:rFonts w:hint="eastAsia" w:ascii="仿宋_GB2312" w:hAnsi="仿宋_GB2312" w:cs="仿宋_GB2312"/>
          <w:color w:val="000000"/>
          <w:sz w:val="32"/>
          <w:szCs w:val="32"/>
          <w:u w:val="single"/>
        </w:rPr>
        <w:t xml:space="preserve">                      </w:t>
      </w:r>
    </w:p>
    <w:p w14:paraId="7851DD25">
      <w:pPr>
        <w:pStyle w:val="10"/>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电子邮箱：</w:t>
      </w:r>
      <w:r>
        <w:rPr>
          <w:rFonts w:hint="eastAsia" w:ascii="仿宋_GB2312" w:hAnsi="仿宋_GB2312" w:cs="仿宋_GB2312"/>
          <w:color w:val="000000"/>
          <w:sz w:val="32"/>
          <w:szCs w:val="32"/>
          <w:u w:val="single"/>
        </w:rPr>
        <w:t xml:space="preserve">                  </w:t>
      </w:r>
    </w:p>
    <w:p w14:paraId="6703E964">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2.通过电子邮箱及其它电子方式送达时，发出之日即视为有效送达。</w:t>
      </w:r>
    </w:p>
    <w:p w14:paraId="2EEA9E04">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3.通过快递等方式送达时，接收方签收之日视为有效送达；对方拒收或退回的，视为签收。</w:t>
      </w:r>
    </w:p>
    <w:p w14:paraId="1560171E">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4.上述联系方式同时作为有效司法送达地址。</w:t>
      </w:r>
    </w:p>
    <w:p w14:paraId="37EA7060">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5.一方变更联系方式，应以书面形式通知对方；否则，该联系方式仍视为有效，由未通知方承担由此而引起的相关责任。</w:t>
      </w:r>
    </w:p>
    <w:p w14:paraId="19010A9B">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6.本联系方式条款为独立条款，不受合同整体或其他条款的效力影响，始终有效。</w:t>
      </w:r>
    </w:p>
    <w:p w14:paraId="7588B1EC">
      <w:pPr>
        <w:pStyle w:val="6"/>
        <w:keepLines w:val="0"/>
        <w:widowControl w:val="0"/>
        <w:ind w:firstLine="640"/>
        <w:jc w:val="both"/>
        <w:rPr>
          <w:rFonts w:ascii="黑体" w:hAnsi="黑体" w:cs="黑体"/>
          <w:szCs w:val="32"/>
        </w:rPr>
      </w:pPr>
      <w:r>
        <w:rPr>
          <w:rFonts w:hint="eastAsia" w:ascii="黑体" w:hAnsi="黑体" w:cs="黑体"/>
          <w:szCs w:val="32"/>
        </w:rPr>
        <w:t>第七条 反商业贿赂</w:t>
      </w:r>
    </w:p>
    <w:p w14:paraId="7CDBC017">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sz w:val="32"/>
          <w:szCs w:val="32"/>
        </w:rPr>
        <w:t>合同双方均不得向对方或对方经办人、工作人员或其他相关人员索要、收受、提供、给予合同约定外的任何利益，包括但不限于明扣、暗扣、现金、购物卡、实物、有价证券、旅游或其他非物质性利益等，否则构成重大违约。守约方有权停止合作、解除合同，并要求违约方承担本合同总金额30%的违约金，如前述违约金仍不足以弥补对方的损失（包括但不限于实际损失、商业信誉的下降、商业机会的丧失、成本增加、预期可得利益损失、其他间接损失等），需另行向守约方全额补偿前述损失。</w:t>
      </w:r>
    </w:p>
    <w:p w14:paraId="57622CB3">
      <w:pPr>
        <w:pStyle w:val="2"/>
        <w:widowControl w:val="0"/>
        <w:ind w:firstLine="640"/>
        <w:jc w:val="both"/>
        <w:rPr>
          <w:rFonts w:ascii="黑体" w:hAnsi="黑体" w:eastAsia="黑体" w:cs="黑体"/>
          <w:bCs/>
          <w:sz w:val="32"/>
          <w:szCs w:val="32"/>
        </w:rPr>
      </w:pPr>
      <w:r>
        <w:rPr>
          <w:rFonts w:hint="eastAsia" w:ascii="黑体" w:hAnsi="黑体" w:eastAsia="黑体" w:cs="黑体"/>
          <w:bCs/>
          <w:sz w:val="32"/>
          <w:szCs w:val="32"/>
        </w:rPr>
        <w:t>第八条 争议解决</w:t>
      </w:r>
    </w:p>
    <w:p w14:paraId="3EDAE671">
      <w:pPr>
        <w:pStyle w:val="2"/>
        <w:widowControl w:val="0"/>
        <w:ind w:firstLine="640"/>
        <w:jc w:val="both"/>
        <w:rPr>
          <w:rFonts w:ascii="仿宋_GB2312" w:hAnsi="仿宋_GB2312" w:cs="仿宋_GB2312"/>
          <w:kern w:val="2"/>
          <w:sz w:val="32"/>
          <w:szCs w:val="32"/>
        </w:rPr>
      </w:pPr>
      <w:r>
        <w:rPr>
          <w:rFonts w:hint="eastAsia" w:ascii="仿宋_GB2312" w:hAnsi="仿宋_GB2312" w:cs="仿宋_GB2312"/>
          <w:kern w:val="2"/>
          <w:sz w:val="32"/>
          <w:szCs w:val="32"/>
        </w:rPr>
        <w:t>因本合同以及本合同项下订单/附件/补充协议等（如有）引起或有关的任何争议，双方应本着互信的原则协商解决，协商不成双方均有权向甲方所在地有管辖权的人民法院提起诉讼。</w:t>
      </w:r>
    </w:p>
    <w:p w14:paraId="24B9E4EC">
      <w:pPr>
        <w:widowControl w:val="0"/>
        <w:ind w:firstLine="640"/>
        <w:jc w:val="both"/>
        <w:rPr>
          <w:rFonts w:ascii="黑体" w:hAnsi="黑体" w:eastAsia="黑体" w:cs="黑体"/>
          <w:bCs/>
          <w:sz w:val="32"/>
          <w:szCs w:val="32"/>
        </w:rPr>
      </w:pPr>
      <w:r>
        <w:rPr>
          <w:rFonts w:hint="eastAsia" w:ascii="黑体" w:hAnsi="黑体" w:eastAsia="黑体" w:cs="黑体"/>
          <w:bCs/>
          <w:sz w:val="32"/>
          <w:szCs w:val="32"/>
        </w:rPr>
        <w:t>第九条 附则</w:t>
      </w:r>
    </w:p>
    <w:p w14:paraId="1B573372">
      <w:pPr>
        <w:widowControl w:val="0"/>
        <w:ind w:firstLine="640"/>
        <w:jc w:val="both"/>
        <w:rPr>
          <w:rFonts w:ascii="仿宋_GB2312" w:hAnsi="仿宋_GB2312" w:cs="仿宋_GB2312"/>
          <w:sz w:val="32"/>
          <w:szCs w:val="32"/>
        </w:rPr>
      </w:pPr>
      <w:r>
        <w:rPr>
          <w:rFonts w:hint="eastAsia" w:ascii="仿宋_GB2312" w:hAnsi="仿宋_GB2312" w:cs="仿宋_GB2312"/>
          <w:sz w:val="32"/>
          <w:szCs w:val="32"/>
        </w:rPr>
        <w:t>1.本合同壹式</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份，甲方执</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份，乙方执</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份，具有同等法律效力。</w:t>
      </w:r>
    </w:p>
    <w:p w14:paraId="4AEDC8BC">
      <w:pPr>
        <w:widowControl w:val="0"/>
        <w:ind w:firstLine="640"/>
        <w:jc w:val="both"/>
        <w:rPr>
          <w:rFonts w:ascii="仿宋_GB2312" w:hAnsi="仿宋_GB2312" w:cs="仿宋_GB2312"/>
          <w:sz w:val="32"/>
          <w:szCs w:val="32"/>
        </w:rPr>
      </w:pPr>
      <w:r>
        <w:rPr>
          <w:rFonts w:hint="eastAsia" w:ascii="仿宋_GB2312" w:hAnsi="仿宋_GB2312" w:cs="仿宋_GB2312"/>
          <w:sz w:val="32"/>
          <w:szCs w:val="32"/>
        </w:rPr>
        <w:t>2.本合同自双方法定代表人或授权代表签字并加盖公章之日起生效。</w:t>
      </w:r>
    </w:p>
    <w:p w14:paraId="110EE3BB">
      <w:pPr>
        <w:widowControl w:val="0"/>
        <w:ind w:firstLine="640"/>
        <w:jc w:val="both"/>
        <w:rPr>
          <w:rFonts w:ascii="仿宋_GB2312" w:hAnsi="仿宋_GB2312" w:cs="仿宋_GB2312"/>
          <w:sz w:val="32"/>
          <w:szCs w:val="32"/>
        </w:rPr>
      </w:pPr>
      <w:r>
        <w:rPr>
          <w:rFonts w:hint="eastAsia" w:ascii="仿宋_GB2312" w:hAnsi="仿宋_GB2312" w:cs="仿宋_GB2312"/>
          <w:sz w:val="32"/>
          <w:szCs w:val="32"/>
        </w:rPr>
        <w:t>3.本合同未尽事宜双方可协商另行签订补充协议，补充协议与本合同具有同等法律效力。</w:t>
      </w:r>
    </w:p>
    <w:p w14:paraId="61F8098C">
      <w:pPr>
        <w:pStyle w:val="10"/>
        <w:widowControl w:val="0"/>
        <w:spacing w:before="0" w:beforeAutospacing="0" w:after="0" w:afterAutospacing="0"/>
        <w:ind w:firstLine="0" w:firstLineChars="0"/>
        <w:jc w:val="both"/>
        <w:rPr>
          <w:rFonts w:ascii="仿宋_GB2312" w:hAnsi="仿宋_GB2312" w:cs="仿宋_GB2312"/>
          <w:color w:val="000000"/>
          <w:sz w:val="32"/>
          <w:szCs w:val="32"/>
        </w:rPr>
      </w:pPr>
    </w:p>
    <w:p w14:paraId="4BF642B8">
      <w:pPr>
        <w:pStyle w:val="10"/>
        <w:widowControl w:val="0"/>
        <w:spacing w:before="0" w:beforeAutospacing="0" w:after="0" w:afterAutospacing="0"/>
        <w:ind w:firstLine="0" w:firstLineChars="0"/>
        <w:jc w:val="both"/>
        <w:rPr>
          <w:rFonts w:ascii="仿宋_GB2312" w:hAnsi="仿宋_GB2312" w:cs="仿宋_GB2312"/>
          <w:color w:val="000000"/>
          <w:sz w:val="32"/>
          <w:szCs w:val="32"/>
        </w:rPr>
      </w:pPr>
    </w:p>
    <w:p w14:paraId="18328FCF">
      <w:pPr>
        <w:pStyle w:val="10"/>
        <w:widowControl w:val="0"/>
        <w:spacing w:before="0" w:beforeAutospacing="0" w:after="0" w:afterAutospacing="0"/>
        <w:ind w:firstLine="0" w:firstLineChars="0"/>
        <w:jc w:val="both"/>
        <w:rPr>
          <w:rFonts w:ascii="仿宋_GB2312" w:hAnsi="仿宋_GB2312" w:cs="仿宋_GB2312"/>
          <w:color w:val="000000"/>
          <w:sz w:val="32"/>
          <w:szCs w:val="32"/>
        </w:rPr>
      </w:pPr>
    </w:p>
    <w:p w14:paraId="240D02AF">
      <w:pPr>
        <w:pStyle w:val="10"/>
        <w:widowControl w:val="0"/>
        <w:spacing w:before="0" w:beforeAutospacing="0" w:after="0" w:afterAutospacing="0"/>
        <w:ind w:firstLine="0" w:firstLineChars="0"/>
        <w:jc w:val="both"/>
        <w:rPr>
          <w:rFonts w:ascii="仿宋_GB2312" w:hAnsi="仿宋_GB2312" w:cs="仿宋_GB2312"/>
          <w:color w:val="000000"/>
          <w:sz w:val="32"/>
          <w:szCs w:val="32"/>
        </w:rPr>
      </w:pPr>
    </w:p>
    <w:p w14:paraId="294954B8">
      <w:pPr>
        <w:pStyle w:val="10"/>
        <w:widowControl w:val="0"/>
        <w:spacing w:before="0" w:beforeAutospacing="0" w:after="0" w:afterAutospacing="0"/>
        <w:ind w:firstLine="0" w:firstLineChars="0"/>
        <w:jc w:val="both"/>
        <w:rPr>
          <w:rFonts w:ascii="仿宋_GB2312" w:hAnsi="仿宋_GB2312" w:cs="仿宋_GB2312"/>
          <w:color w:val="000000"/>
          <w:sz w:val="32"/>
          <w:szCs w:val="32"/>
        </w:rPr>
      </w:pPr>
    </w:p>
    <w:p w14:paraId="5AE43AA5">
      <w:pPr>
        <w:pStyle w:val="10"/>
        <w:widowControl w:val="0"/>
        <w:spacing w:before="0" w:beforeAutospacing="0" w:after="0" w:afterAutospacing="0"/>
        <w:ind w:firstLine="0" w:firstLineChars="0"/>
        <w:jc w:val="both"/>
        <w:rPr>
          <w:rFonts w:ascii="仿宋_GB2312" w:hAnsi="仿宋_GB2312" w:cs="仿宋_GB2312"/>
          <w:color w:val="000000"/>
          <w:sz w:val="32"/>
          <w:szCs w:val="32"/>
        </w:rPr>
      </w:pPr>
    </w:p>
    <w:tbl>
      <w:tblPr>
        <w:tblStyle w:val="11"/>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0"/>
        <w:gridCol w:w="4585"/>
      </w:tblGrid>
      <w:tr w14:paraId="1662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7E98E5FA">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甲方（公章）：</w:t>
            </w:r>
          </w:p>
        </w:tc>
        <w:tc>
          <w:tcPr>
            <w:tcW w:w="4585" w:type="dxa"/>
          </w:tcPr>
          <w:p w14:paraId="5370E6A9">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乙方（公章）：</w:t>
            </w:r>
          </w:p>
        </w:tc>
      </w:tr>
      <w:tr w14:paraId="31A6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4430" w:type="dxa"/>
          </w:tcPr>
          <w:p w14:paraId="4689C887">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法定代表人或授权代表</w:t>
            </w:r>
          </w:p>
          <w:p w14:paraId="78C07108">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（签名）：</w:t>
            </w:r>
          </w:p>
        </w:tc>
        <w:tc>
          <w:tcPr>
            <w:tcW w:w="4585" w:type="dxa"/>
          </w:tcPr>
          <w:p w14:paraId="09DB12DF">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法定代表人或授权代表</w:t>
            </w:r>
          </w:p>
          <w:p w14:paraId="2E1C37EF">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（签名）：</w:t>
            </w:r>
          </w:p>
        </w:tc>
      </w:tr>
      <w:tr w14:paraId="26CF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61B8CAEC">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电话：</w:t>
            </w:r>
          </w:p>
        </w:tc>
        <w:tc>
          <w:tcPr>
            <w:tcW w:w="4585" w:type="dxa"/>
          </w:tcPr>
          <w:p w14:paraId="2513B890">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电话：</w:t>
            </w:r>
          </w:p>
        </w:tc>
      </w:tr>
      <w:tr w14:paraId="56E6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41E74234">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传真：</w:t>
            </w:r>
          </w:p>
        </w:tc>
        <w:tc>
          <w:tcPr>
            <w:tcW w:w="4585" w:type="dxa"/>
          </w:tcPr>
          <w:p w14:paraId="695EA80D">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传真：</w:t>
            </w:r>
          </w:p>
        </w:tc>
      </w:tr>
      <w:tr w14:paraId="0DF1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2AA4B359">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开户银行：</w:t>
            </w:r>
          </w:p>
        </w:tc>
        <w:tc>
          <w:tcPr>
            <w:tcW w:w="4585" w:type="dxa"/>
          </w:tcPr>
          <w:p w14:paraId="44D08516">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开户银行：</w:t>
            </w:r>
          </w:p>
        </w:tc>
      </w:tr>
      <w:tr w14:paraId="759A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1A8B3E16">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账号：</w:t>
            </w:r>
          </w:p>
        </w:tc>
        <w:tc>
          <w:tcPr>
            <w:tcW w:w="4585" w:type="dxa"/>
          </w:tcPr>
          <w:p w14:paraId="169A411D">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账号：</w:t>
            </w:r>
          </w:p>
        </w:tc>
      </w:tr>
      <w:tr w14:paraId="2EDA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5" w:type="dxa"/>
            <w:gridSpan w:val="2"/>
          </w:tcPr>
          <w:p w14:paraId="356E8F69">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签订日期：    年   月   日</w:t>
            </w:r>
          </w:p>
        </w:tc>
      </w:tr>
    </w:tbl>
    <w:p w14:paraId="2401D7EA">
      <w:pPr>
        <w:pStyle w:val="10"/>
        <w:widowControl w:val="0"/>
        <w:spacing w:before="0" w:beforeAutospacing="0" w:after="0" w:afterAutospacing="0"/>
        <w:ind w:firstLine="0" w:firstLineChars="0"/>
        <w:jc w:val="both"/>
        <w:rPr>
          <w:rFonts w:ascii="仿宋_GB2312" w:hAnsi="仿宋_GB2312" w:cs="仿宋_GB2312"/>
          <w:color w:val="000000"/>
          <w:sz w:val="32"/>
          <w:szCs w:val="32"/>
        </w:rPr>
      </w:pPr>
    </w:p>
    <w:p w14:paraId="53E44C78">
      <w:pPr>
        <w:pStyle w:val="10"/>
        <w:widowControl w:val="0"/>
        <w:spacing w:before="0" w:beforeAutospacing="0" w:after="0" w:afterAutospacing="0"/>
        <w:ind w:firstLine="480"/>
        <w:jc w:val="both"/>
        <w:rPr>
          <w:rFonts w:ascii="宋体" w:hAnsi="宋体" w:cs="宋体"/>
          <w:color w:val="000000"/>
        </w:rPr>
      </w:pPr>
    </w:p>
    <w:sectPr>
      <w:footerReference r:id="rId5" w:type="default"/>
      <w:pgSz w:w="11895" w:h="16845"/>
      <w:pgMar w:top="2098" w:right="1474" w:bottom="1984" w:left="158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45750">
    <w:pPr>
      <w:ind w:firstLine="48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FEC6F">
                          <w:pPr>
                            <w:pStyle w:val="8"/>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3FFEC6F">
                    <w:pPr>
                      <w:pStyle w:val="8"/>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0"/>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3YmQ4NWQ1NzgyMjUwZDRkMTc0ZWIzMTI4NDJiYWMifQ=="/>
    <w:docVar w:name="KSO_WPS_MARK_KEY" w:val="cc7ae280-9e7f-4c0f-8e65-1c785ffe0118"/>
  </w:docVars>
  <w:rsids>
    <w:rsidRoot w:val="006C3C4A"/>
    <w:rsid w:val="006C3C4A"/>
    <w:rsid w:val="009B2935"/>
    <w:rsid w:val="00B257ED"/>
    <w:rsid w:val="06522598"/>
    <w:rsid w:val="0D067277"/>
    <w:rsid w:val="129C35C3"/>
    <w:rsid w:val="1578662C"/>
    <w:rsid w:val="168453DE"/>
    <w:rsid w:val="188E5814"/>
    <w:rsid w:val="1C18782E"/>
    <w:rsid w:val="1C50581A"/>
    <w:rsid w:val="20F36B91"/>
    <w:rsid w:val="22883B1E"/>
    <w:rsid w:val="2980149B"/>
    <w:rsid w:val="29964E38"/>
    <w:rsid w:val="31C17D6A"/>
    <w:rsid w:val="32B114BB"/>
    <w:rsid w:val="386B3826"/>
    <w:rsid w:val="41F02331"/>
    <w:rsid w:val="4274258B"/>
    <w:rsid w:val="476D68D3"/>
    <w:rsid w:val="48A72C1A"/>
    <w:rsid w:val="48D9656D"/>
    <w:rsid w:val="4D945ADE"/>
    <w:rsid w:val="54BC65C4"/>
    <w:rsid w:val="5C3E70EF"/>
    <w:rsid w:val="65780A9F"/>
    <w:rsid w:val="6A9C4677"/>
    <w:rsid w:val="6CA80430"/>
    <w:rsid w:val="6EC616ED"/>
    <w:rsid w:val="74154289"/>
    <w:rsid w:val="74B93933"/>
    <w:rsid w:val="78230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880" w:firstLineChars="200"/>
    </w:pPr>
    <w:rPr>
      <w:rFonts w:ascii="Times New Roman" w:hAnsi="Times New Roman" w:eastAsia="仿宋_GB2312" w:cs="Times New Roman"/>
      <w:sz w:val="24"/>
      <w:lang w:val="en-US" w:eastAsia="zh-CN" w:bidi="ar-SA"/>
    </w:rPr>
  </w:style>
  <w:style w:type="paragraph" w:styleId="5">
    <w:name w:val="heading 1"/>
    <w:basedOn w:val="1"/>
    <w:next w:val="1"/>
    <w:qFormat/>
    <w:uiPriority w:val="9"/>
    <w:pPr>
      <w:keepLines/>
      <w:ind w:firstLine="0" w:firstLineChars="0"/>
      <w:jc w:val="center"/>
      <w:outlineLvl w:val="0"/>
    </w:pPr>
    <w:rPr>
      <w:b/>
      <w:color w:val="000000"/>
      <w:sz w:val="36"/>
    </w:rPr>
  </w:style>
  <w:style w:type="paragraph" w:styleId="6">
    <w:name w:val="heading 3"/>
    <w:basedOn w:val="1"/>
    <w:next w:val="1"/>
    <w:qFormat/>
    <w:uiPriority w:val="9"/>
    <w:pPr>
      <w:keepLines/>
      <w:outlineLvl w:val="2"/>
    </w:pPr>
    <w:rPr>
      <w:rFonts w:eastAsia="黑体"/>
      <w:color w:val="000000"/>
      <w:sz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3"/>
    <w:next w:val="4"/>
    <w:qFormat/>
    <w:uiPriority w:val="0"/>
    <w:rPr>
      <w:rFonts w:ascii="Calibri" w:hAnsi="Calibri"/>
      <w:szCs w:val="22"/>
    </w:rPr>
  </w:style>
  <w:style w:type="paragraph" w:styleId="3">
    <w:name w:val="Plain Text"/>
    <w:basedOn w:val="1"/>
    <w:qFormat/>
    <w:uiPriority w:val="0"/>
    <w:rPr>
      <w:rFonts w:ascii="宋体" w:hAnsi="Courier New"/>
      <w:szCs w:val="21"/>
    </w:rPr>
  </w:style>
  <w:style w:type="paragraph" w:customStyle="1" w:styleId="4">
    <w:name w:val="纯文本1"/>
    <w:basedOn w:val="1"/>
    <w:qFormat/>
    <w:uiPriority w:val="0"/>
    <w:rPr>
      <w:rFonts w:ascii="宋体" w:hAnsi="Courier New" w:cs="Courier New"/>
      <w:szCs w:val="21"/>
    </w:rPr>
  </w:style>
  <w:style w:type="paragraph" w:styleId="7">
    <w:name w:val="Body Text"/>
    <w:basedOn w:val="1"/>
    <w:qFormat/>
    <w:uiPriority w:val="1"/>
    <w:pPr>
      <w:ind w:left="516"/>
    </w:pPr>
    <w:rPr>
      <w:rFonts w:ascii="宋体" w:hAnsi="宋体" w:eastAsia="宋体"/>
      <w:sz w:val="20"/>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0">
    <w:name w:val="Normal (Web)"/>
    <w:basedOn w:val="1"/>
    <w:qFormat/>
    <w:uiPriority w:val="99"/>
    <w:pPr>
      <w:spacing w:before="100" w:beforeAutospacing="1" w:after="100" w:afterAutospacing="1"/>
    </w:pPr>
  </w:style>
  <w:style w:type="table" w:customStyle="1" w:styleId="13">
    <w:name w:val="Table Normal1"/>
    <w:qFormat/>
    <w:uiPriority w:val="59"/>
    <w:tblPr>
      <w:tblCellMar>
        <w:top w:w="0" w:type="dxa"/>
        <w:left w:w="108" w:type="dxa"/>
        <w:bottom w:w="0" w:type="dxa"/>
        <w:right w:w="108" w:type="dxa"/>
      </w:tblCellMar>
    </w:tblPr>
  </w:style>
  <w:style w:type="paragraph" w:customStyle="1" w:styleId="14">
    <w:name w:val="font-fangsong *"/>
    <w:basedOn w:val="1"/>
    <w:qFormat/>
    <w:uiPriority w:val="0"/>
    <w:pPr>
      <w:spacing w:before="100" w:beforeAutospacing="1" w:after="100" w:afterAutospacing="1"/>
    </w:pPr>
    <w:rPr>
      <w:rFonts w:ascii="Simfang" w:hAnsi="Simfang" w:cs="Simfang"/>
    </w:rPr>
  </w:style>
  <w:style w:type="paragraph" w:customStyle="1" w:styleId="15">
    <w:name w:val="font-song *"/>
    <w:basedOn w:val="1"/>
    <w:qFormat/>
    <w:uiPriority w:val="0"/>
    <w:pPr>
      <w:spacing w:before="100" w:beforeAutospacing="1" w:after="100" w:afterAutospacing="1"/>
    </w:pPr>
    <w:rPr>
      <w:rFonts w:ascii="宋体" w:hAnsi="宋体" w:cs="宋体"/>
    </w:rPr>
  </w:style>
  <w:style w:type="paragraph" w:customStyle="1" w:styleId="16">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1937</Words>
  <Characters>2015</Characters>
  <Lines>19</Lines>
  <Paragraphs>5</Paragraphs>
  <TotalTime>0</TotalTime>
  <ScaleCrop>false</ScaleCrop>
  <LinksUpToDate>false</LinksUpToDate>
  <CharactersWithSpaces>2612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2024-04-28T06:37:00Z</dcterms:created>
  <dc:creator>法天使</dc:creator>
  <cp:lastModifiedBy>wayne wang</cp:lastModifiedBy>
  <cp:lastPrinted>2024-05-17T02:38:00Z</cp:lastPrinted>
  <dcterms:modified xsi:type="dcterms:W3CDTF">2025-08-04T02:41:53Z</dcterms:modified>
  <dc:title>一般商品买卖合同（简单版）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FB6F2E51401E4B9B9A6709B4ADC71EFC</vt:lpwstr>
  </property>
  <property fmtid="{D5CDD505-2E9C-101B-9397-08002B2CF9AE}" pid="4" name="KSOTemplateDocerSaveRecord">
    <vt:lpwstr>eyJoZGlkIjoiMWQwMjMwOTRlNDYzNDM5MWU2NWI5OWVhODRhMjE4NGMiLCJ1c2VySWQiOiI0NTY4NzU1NDcifQ==</vt:lpwstr>
  </property>
</Properties>
</file>