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DB3CFB6">
      <w:pPr>
        <w:pStyle w:val="5"/>
        <w:spacing w:before="0" w:after="0" w:line="560" w:lineRule="exact"/>
        <w:jc w:val="center"/>
        <w:rPr>
          <w:rFonts w:hint="eastAsia" w:ascii="仿宋_GB2312" w:hAnsi="仿宋_GB2312" w:eastAsia="仿宋_GB2312" w:cs="仿宋_GB2312"/>
          <w:b w:val="0"/>
          <w:kern w:val="0"/>
          <w:sz w:val="32"/>
        </w:rPr>
      </w:pPr>
      <w:bookmarkStart w:id="0" w:name="_GoBack"/>
      <w:bookmarkEnd w:id="0"/>
    </w:p>
    <w:p w14:paraId="02C958FD">
      <w:pPr>
        <w:rPr>
          <w:rFonts w:hint="eastAsia"/>
        </w:rPr>
      </w:pPr>
    </w:p>
    <w:p w14:paraId="5B09FAC3">
      <w:pPr>
        <w:spacing w:line="240" w:lineRule="auto"/>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下围地块土地整备利益统筹项目</w:t>
      </w:r>
    </w:p>
    <w:p w14:paraId="1584ACA5">
      <w:pPr>
        <w:spacing w:line="240" w:lineRule="auto"/>
        <w:jc w:val="center"/>
        <w:rPr>
          <w:rFonts w:hint="eastAsia"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Cs/>
          <w:sz w:val="44"/>
          <w:szCs w:val="44"/>
        </w:rPr>
        <w:t>评估督导委托合同</w:t>
      </w:r>
    </w:p>
    <w:p w14:paraId="7CDC2EDB">
      <w:pPr>
        <w:rPr>
          <w:rFonts w:hint="eastAsia"/>
        </w:rPr>
      </w:pPr>
    </w:p>
    <w:p w14:paraId="0850A1E2">
      <w:pPr>
        <w:spacing w:line="560" w:lineRule="exact"/>
        <w:jc w:val="center"/>
        <w:rPr>
          <w:rFonts w:hint="eastAsia" w:ascii="方正小标宋简体" w:hAnsi="方正小标宋简体" w:eastAsia="方正小标宋简体" w:cs="方正小标宋简体"/>
          <w:bCs/>
          <w:sz w:val="32"/>
          <w:szCs w:val="32"/>
          <w:lang w:eastAsia="zh-CN"/>
        </w:rPr>
      </w:pPr>
      <w:r>
        <w:rPr>
          <w:rFonts w:hint="eastAsia" w:ascii="方正小标宋简体" w:hAnsi="方正小标宋简体" w:eastAsia="方正小标宋简体" w:cs="方正小标宋简体"/>
          <w:bCs/>
          <w:sz w:val="32"/>
          <w:szCs w:val="32"/>
        </w:rPr>
        <w:t>合同编号：</w:t>
      </w:r>
      <w:r>
        <w:rPr>
          <w:rFonts w:hint="eastAsia" w:ascii="方正小标宋简体" w:hAnsi="方正小标宋简体" w:eastAsia="方正小标宋简体" w:cs="方正小标宋简体"/>
          <w:bCs/>
          <w:sz w:val="32"/>
          <w:szCs w:val="32"/>
          <w:lang w:val="en-US" w:eastAsia="zh-CN"/>
        </w:rPr>
        <w:t xml:space="preserve"> </w:t>
      </w:r>
    </w:p>
    <w:p w14:paraId="5E9488C7">
      <w:pPr>
        <w:spacing w:line="560" w:lineRule="exact"/>
        <w:rPr>
          <w:rFonts w:hint="eastAsia" w:ascii="仿宋_GB2312" w:hAnsi="仿宋_GB2312" w:eastAsia="仿宋_GB2312" w:cs="仿宋_GB2312"/>
          <w:sz w:val="32"/>
          <w:szCs w:val="32"/>
        </w:rPr>
      </w:pPr>
    </w:p>
    <w:p w14:paraId="2585CA53">
      <w:pPr>
        <w:spacing w:line="560" w:lineRule="exact"/>
        <w:rPr>
          <w:rFonts w:hint="eastAsia" w:ascii="仿宋_GB2312" w:hAnsi="仿宋_GB2312" w:eastAsia="仿宋_GB2312" w:cs="仿宋_GB2312"/>
          <w:sz w:val="32"/>
          <w:szCs w:val="32"/>
        </w:rPr>
      </w:pPr>
    </w:p>
    <w:p w14:paraId="035165E6">
      <w:pPr>
        <w:pStyle w:val="2"/>
        <w:spacing w:line="560" w:lineRule="exact"/>
        <w:rPr>
          <w:rFonts w:hint="eastAsia" w:ascii="仿宋_GB2312" w:hAnsi="仿宋_GB2312" w:eastAsia="仿宋_GB2312" w:cs="仿宋_GB2312"/>
          <w:sz w:val="32"/>
          <w:szCs w:val="32"/>
        </w:rPr>
      </w:pPr>
    </w:p>
    <w:p w14:paraId="4BB1DC86">
      <w:pPr>
        <w:pStyle w:val="2"/>
        <w:spacing w:line="560" w:lineRule="exact"/>
        <w:rPr>
          <w:rFonts w:hint="eastAsia" w:ascii="仿宋_GB2312" w:hAnsi="仿宋_GB2312" w:eastAsia="仿宋_GB2312" w:cs="仿宋_GB2312"/>
          <w:sz w:val="32"/>
          <w:szCs w:val="32"/>
        </w:rPr>
      </w:pPr>
    </w:p>
    <w:p w14:paraId="055C5E11">
      <w:pPr>
        <w:rPr>
          <w:rFonts w:hint="eastAsia" w:ascii="仿宋_GB2312" w:hAnsi="仿宋_GB2312" w:eastAsia="仿宋_GB2312" w:cs="仿宋_GB2312"/>
          <w:sz w:val="32"/>
          <w:szCs w:val="32"/>
        </w:rPr>
      </w:pPr>
    </w:p>
    <w:p w14:paraId="0FC690A7">
      <w:pPr>
        <w:pStyle w:val="2"/>
        <w:rPr>
          <w:rFonts w:hint="eastAsia" w:ascii="仿宋_GB2312" w:hAnsi="仿宋_GB2312" w:eastAsia="仿宋_GB2312" w:cs="仿宋_GB2312"/>
          <w:sz w:val="32"/>
          <w:szCs w:val="32"/>
        </w:rPr>
      </w:pPr>
    </w:p>
    <w:p w14:paraId="08AA4D0F">
      <w:pPr>
        <w:rPr>
          <w:rFonts w:hint="eastAsia" w:ascii="仿宋_GB2312" w:hAnsi="仿宋_GB2312" w:eastAsia="仿宋_GB2312" w:cs="仿宋_GB2312"/>
          <w:sz w:val="32"/>
          <w:szCs w:val="32"/>
        </w:rPr>
      </w:pPr>
    </w:p>
    <w:p w14:paraId="1326B0E5">
      <w:pPr>
        <w:pStyle w:val="2"/>
        <w:rPr>
          <w:rFonts w:hint="eastAsia"/>
        </w:rPr>
      </w:pPr>
    </w:p>
    <w:p w14:paraId="3C8410B2">
      <w:pPr>
        <w:pStyle w:val="2"/>
        <w:spacing w:line="560" w:lineRule="exact"/>
        <w:rPr>
          <w:rFonts w:hint="eastAsia" w:ascii="仿宋_GB2312" w:hAnsi="仿宋_GB2312" w:eastAsia="仿宋_GB2312" w:cs="仿宋_GB2312"/>
          <w:b w:val="0"/>
          <w:sz w:val="32"/>
          <w:szCs w:val="32"/>
        </w:rPr>
      </w:pPr>
    </w:p>
    <w:p w14:paraId="6DC8A652">
      <w:pPr>
        <w:pStyle w:val="2"/>
        <w:spacing w:line="560" w:lineRule="exact"/>
        <w:rPr>
          <w:rFonts w:hint="eastAsia" w:ascii="仿宋_GB2312" w:hAnsi="仿宋_GB2312" w:eastAsia="仿宋_GB2312" w:cs="仿宋_GB2312"/>
          <w:b w:val="0"/>
          <w:sz w:val="32"/>
          <w:szCs w:val="32"/>
        </w:rPr>
      </w:pPr>
    </w:p>
    <w:p w14:paraId="27E6DD07">
      <w:pPr>
        <w:pStyle w:val="2"/>
        <w:spacing w:line="720" w:lineRule="auto"/>
        <w:ind w:right="-813" w:rightChars="-387"/>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rPr>
        <w:t>项目名称：</w:t>
      </w:r>
      <w:r>
        <w:rPr>
          <w:rFonts w:hint="eastAsia" w:ascii="仿宋_GB2312" w:hAnsi="仿宋_GB2312" w:eastAsia="仿宋_GB2312" w:cs="仿宋_GB2312"/>
          <w:b w:val="0"/>
          <w:sz w:val="32"/>
          <w:szCs w:val="32"/>
          <w:u w:val="single"/>
          <w:lang w:eastAsia="zh-CN"/>
        </w:rPr>
        <w:t>下围地块土地整备利益统筹项目</w:t>
      </w:r>
      <w:r>
        <w:rPr>
          <w:rFonts w:hint="eastAsia" w:ascii="仿宋_GB2312" w:hAnsi="仿宋_GB2312" w:eastAsia="仿宋_GB2312" w:cs="仿宋_GB2312"/>
          <w:b w:val="0"/>
          <w:sz w:val="32"/>
          <w:szCs w:val="32"/>
          <w:u w:val="single"/>
        </w:rPr>
        <w:t>评估督导</w:t>
      </w:r>
    </w:p>
    <w:p w14:paraId="16D80AD3">
      <w:pPr>
        <w:pStyle w:val="2"/>
        <w:spacing w:line="720" w:lineRule="auto"/>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rPr>
        <w:t>甲    方：</w:t>
      </w:r>
      <w:r>
        <w:rPr>
          <w:rFonts w:hint="eastAsia" w:ascii="仿宋_GB2312" w:hAnsi="仿宋_GB2312" w:eastAsia="仿宋_GB2312" w:cs="仿宋_GB2312"/>
          <w:b w:val="0"/>
          <w:sz w:val="32"/>
          <w:szCs w:val="32"/>
          <w:u w:val="single"/>
        </w:rPr>
        <w:t>深圳市新龙观投资发展有限公司</w:t>
      </w:r>
    </w:p>
    <w:p w14:paraId="280A6197">
      <w:pPr>
        <w:pStyle w:val="2"/>
        <w:spacing w:line="720" w:lineRule="auto"/>
        <w:rPr>
          <w:rFonts w:hint="eastAsia" w:ascii="仿宋_GB2312" w:hAnsi="仿宋_GB2312" w:eastAsia="仿宋_GB2312" w:cs="仿宋_GB2312"/>
          <w:b w:val="0"/>
          <w:bCs w:val="0"/>
          <w:sz w:val="32"/>
          <w:szCs w:val="32"/>
          <w:u w:val="single"/>
        </w:rPr>
      </w:pPr>
      <w:r>
        <w:rPr>
          <w:rFonts w:hint="eastAsia" w:ascii="仿宋_GB2312" w:hAnsi="仿宋_GB2312" w:eastAsia="仿宋_GB2312" w:cs="仿宋_GB2312"/>
          <w:b w:val="0"/>
          <w:sz w:val="32"/>
          <w:szCs w:val="32"/>
        </w:rPr>
        <w:t>乙    方：</w:t>
      </w:r>
      <w:r>
        <w:rPr>
          <w:rFonts w:hint="eastAsia" w:ascii="仿宋_GB2312" w:hAnsi="仿宋_GB2312" w:eastAsia="仿宋_GB2312" w:cs="仿宋_GB2312"/>
          <w:b w:val="0"/>
          <w:bCs w:val="0"/>
          <w:sz w:val="32"/>
          <w:szCs w:val="32"/>
          <w:u w:val="single"/>
          <w:lang w:eastAsia="zh-CN"/>
        </w:rPr>
        <w:t>XXX</w:t>
      </w:r>
      <w:r>
        <w:rPr>
          <w:rFonts w:hint="eastAsia" w:ascii="仿宋_GB2312" w:hAnsi="仿宋_GB2312" w:eastAsia="仿宋_GB2312" w:cs="仿宋_GB2312"/>
          <w:b w:val="0"/>
          <w:bCs w:val="0"/>
          <w:sz w:val="32"/>
          <w:szCs w:val="32"/>
          <w:u w:val="single"/>
        </w:rPr>
        <w:t>公司</w:t>
      </w:r>
    </w:p>
    <w:p w14:paraId="0DD7B3B9">
      <w:pPr>
        <w:spacing w:line="240" w:lineRule="auto"/>
        <w:jc w:val="both"/>
        <w:rPr>
          <w:rFonts w:hint="eastAsia" w:ascii="仿宋_GB2312" w:hAnsi="仿宋_GB2312" w:eastAsia="仿宋_GB2312" w:cs="仿宋_GB2312"/>
          <w:b w:val="0"/>
          <w:sz w:val="32"/>
          <w:szCs w:val="32"/>
          <w:u w:val="single"/>
        </w:rPr>
      </w:pPr>
      <w:r>
        <w:rPr>
          <w:rFonts w:hint="eastAsia" w:ascii="仿宋_GB2312" w:hAnsi="仿宋_GB2312" w:eastAsia="仿宋_GB2312" w:cs="仿宋_GB2312"/>
          <w:b w:val="0"/>
          <w:sz w:val="32"/>
          <w:szCs w:val="32"/>
        </w:rPr>
        <w:t>签订日期：</w:t>
      </w:r>
      <w:r>
        <w:rPr>
          <w:rFonts w:hint="eastAsia" w:ascii="仿宋_GB2312" w:hAnsi="仿宋_GB2312" w:eastAsia="仿宋_GB2312" w:cs="仿宋_GB2312"/>
          <w:b w:val="0"/>
          <w:sz w:val="32"/>
          <w:szCs w:val="32"/>
          <w:u w:val="single"/>
          <w:lang w:eastAsia="zh-CN"/>
        </w:rPr>
        <w:t>2025</w:t>
      </w:r>
      <w:r>
        <w:rPr>
          <w:rFonts w:hint="eastAsia" w:ascii="仿宋_GB2312" w:hAnsi="仿宋_GB2312" w:eastAsia="仿宋_GB2312" w:cs="仿宋_GB2312"/>
          <w:b w:val="0"/>
          <w:sz w:val="32"/>
          <w:szCs w:val="32"/>
          <w:u w:val="single"/>
        </w:rPr>
        <w:t>年4月    日</w:t>
      </w:r>
    </w:p>
    <w:p w14:paraId="2B028F4A">
      <w:pPr>
        <w:spacing w:line="240" w:lineRule="auto"/>
        <w:jc w:val="left"/>
        <w:rPr>
          <w:rFonts w:hint="eastAsia" w:ascii="仿宋_GB2312" w:hAnsi="仿宋_GB2312" w:eastAsia="仿宋_GB2312" w:cs="仿宋_GB2312"/>
          <w:b w:val="0"/>
          <w:sz w:val="32"/>
        </w:rPr>
      </w:pPr>
      <w:r>
        <w:rPr>
          <w:rFonts w:hint="eastAsia" w:ascii="仿宋_GB2312" w:hAnsi="仿宋_GB2312" w:eastAsia="仿宋_GB2312" w:cs="仿宋_GB2312"/>
          <w:b w:val="0"/>
          <w:sz w:val="32"/>
        </w:rPr>
        <w:br w:type="page"/>
      </w:r>
    </w:p>
    <w:p w14:paraId="31CA1174">
      <w:pPr>
        <w:spacing w:line="240" w:lineRule="auto"/>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下围地块土地整备利益统筹项目</w:t>
      </w:r>
    </w:p>
    <w:p w14:paraId="29186F52">
      <w:pPr>
        <w:spacing w:line="240" w:lineRule="auto"/>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评估督导委托合同</w:t>
      </w:r>
    </w:p>
    <w:p w14:paraId="7E78FE94">
      <w:pPr>
        <w:spacing w:line="240" w:lineRule="auto"/>
        <w:jc w:val="center"/>
        <w:rPr>
          <w:rFonts w:hint="eastAsia" w:ascii="仿宋_GB2312" w:hAnsi="仿宋_GB2312" w:eastAsia="仿宋_GB2312" w:cs="仿宋_GB2312"/>
          <w:sz w:val="32"/>
          <w:szCs w:val="32"/>
        </w:rPr>
      </w:pPr>
    </w:p>
    <w:p w14:paraId="68ED754E">
      <w:pPr>
        <w:spacing w:line="5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委托方（甲方）：深圳市新龙观投资发展有限公司</w:t>
      </w:r>
    </w:p>
    <w:p w14:paraId="45BC3215">
      <w:pPr>
        <w:spacing w:line="5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法人代表：刘晓迎</w:t>
      </w:r>
    </w:p>
    <w:p w14:paraId="6C153078">
      <w:pPr>
        <w:spacing w:line="5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地址：深圳市龙华区观湖街道鹭湖社区观盛三路10号龙馨家园A栋2101</w:t>
      </w:r>
    </w:p>
    <w:p w14:paraId="7A14C7C4">
      <w:pPr>
        <w:spacing w:line="560" w:lineRule="exact"/>
        <w:ind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eastAsia="zh-CN"/>
        </w:rPr>
        <w:t>高工</w:t>
      </w:r>
    </w:p>
    <w:p w14:paraId="40F5F74F">
      <w:pPr>
        <w:spacing w:line="5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联系电话：0755-29809916</w:t>
      </w:r>
    </w:p>
    <w:p w14:paraId="666BCB11">
      <w:pPr>
        <w:pStyle w:val="2"/>
        <w:spacing w:line="560" w:lineRule="exact"/>
        <w:rPr>
          <w:rFonts w:hint="eastAsia" w:ascii="仿宋_GB2312" w:hAnsi="仿宋_GB2312" w:eastAsia="仿宋_GB2312" w:cs="仿宋_GB2312"/>
          <w:b w:val="0"/>
          <w:bCs w:val="0"/>
          <w:sz w:val="28"/>
          <w:szCs w:val="28"/>
        </w:rPr>
      </w:pPr>
    </w:p>
    <w:p w14:paraId="7A0E122B">
      <w:pPr>
        <w:spacing w:line="5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受托方(乙方)：</w:t>
      </w:r>
      <w:r>
        <w:rPr>
          <w:rFonts w:hint="eastAsia" w:ascii="仿宋_GB2312" w:hAnsi="仿宋_GB2312" w:eastAsia="仿宋_GB2312" w:cs="仿宋_GB2312"/>
          <w:sz w:val="28"/>
          <w:szCs w:val="28"/>
          <w:lang w:eastAsia="zh-CN"/>
        </w:rPr>
        <w:t>XXX</w:t>
      </w:r>
      <w:r>
        <w:rPr>
          <w:rFonts w:hint="eastAsia" w:ascii="仿宋_GB2312" w:hAnsi="仿宋_GB2312" w:eastAsia="仿宋_GB2312" w:cs="仿宋_GB2312"/>
          <w:sz w:val="28"/>
          <w:szCs w:val="28"/>
        </w:rPr>
        <w:t>公司</w:t>
      </w:r>
    </w:p>
    <w:p w14:paraId="6EB05C42">
      <w:pPr>
        <w:spacing w:line="5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法人代表：聂竹青        </w:t>
      </w:r>
    </w:p>
    <w:p w14:paraId="2F2ECA36">
      <w:pPr>
        <w:spacing w:line="56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地址：深圳市福田区彩田路与福中路交汇处瑰丽福景大厦3＃14层1401</w:t>
      </w:r>
    </w:p>
    <w:p w14:paraId="4D82721B">
      <w:pPr>
        <w:spacing w:line="5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联系人：桂英红          </w:t>
      </w:r>
    </w:p>
    <w:p w14:paraId="2E9232B7">
      <w:pPr>
        <w:spacing w:line="5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联系电话：0755-82403555            </w:t>
      </w:r>
    </w:p>
    <w:p w14:paraId="18C39538">
      <w:pPr>
        <w:spacing w:line="560" w:lineRule="exact"/>
        <w:ind w:firstLine="560" w:firstLineChars="200"/>
        <w:rPr>
          <w:rFonts w:hint="eastAsia" w:ascii="仿宋_GB2312" w:hAnsi="仿宋_GB2312" w:eastAsia="仿宋_GB2312" w:cs="仿宋_GB2312"/>
          <w:sz w:val="28"/>
          <w:szCs w:val="28"/>
        </w:rPr>
      </w:pPr>
    </w:p>
    <w:p w14:paraId="6FA1C5D6">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深圳交易集团有限公司龙华分公司招标项目的中标结果，确定为中标方。参照《中华人民共和国民法典》和《深圳经济特区政府采购条例》及其他相关法律法规的规定，经甲乙双方协商一致，就甲方委托乙方承担</w:t>
      </w:r>
      <w:r>
        <w:rPr>
          <w:rFonts w:hint="eastAsia" w:ascii="仿宋_GB2312" w:hAnsi="仿宋_GB2312" w:eastAsia="仿宋_GB2312" w:cs="仿宋_GB2312"/>
          <w:b/>
          <w:bCs/>
          <w:snapToGrid w:val="0"/>
          <w:kern w:val="0"/>
          <w:sz w:val="28"/>
          <w:szCs w:val="28"/>
          <w:u w:val="single"/>
          <w:lang w:val="zh-CN"/>
        </w:rPr>
        <w:t xml:space="preserve"> 下围地块土地整备利益统筹项目评估督导项目</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以下称“本项目”），达成以下合同条款：</w:t>
      </w:r>
    </w:p>
    <w:p w14:paraId="077B96A1">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第一条　项目概况</w:t>
      </w:r>
    </w:p>
    <w:p w14:paraId="6303435B">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1、项目名称：</w:t>
      </w:r>
      <w:r>
        <w:rPr>
          <w:rFonts w:hint="eastAsia" w:ascii="仿宋_GB2312" w:hAnsi="仿宋_GB2312" w:eastAsia="仿宋_GB2312" w:cs="仿宋_GB2312"/>
          <w:sz w:val="28"/>
          <w:szCs w:val="28"/>
          <w:u w:val="single"/>
          <w:lang w:eastAsia="zh-CN"/>
        </w:rPr>
        <w:t>下围地块土地整备利益统筹项目</w:t>
      </w:r>
      <w:r>
        <w:rPr>
          <w:rFonts w:hint="eastAsia" w:ascii="仿宋_GB2312" w:hAnsi="仿宋_GB2312" w:eastAsia="仿宋_GB2312" w:cs="仿宋_GB2312"/>
          <w:sz w:val="28"/>
          <w:szCs w:val="28"/>
          <w:u w:val="single"/>
        </w:rPr>
        <w:t>评估督导服务。</w:t>
      </w:r>
    </w:p>
    <w:p w14:paraId="3A9D9B54">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2、项目内容：</w:t>
      </w:r>
      <w:r>
        <w:rPr>
          <w:rFonts w:hint="eastAsia" w:ascii="仿宋_GB2312" w:hAnsi="仿宋_GB2312" w:eastAsia="仿宋_GB2312" w:cs="仿宋_GB2312"/>
          <w:sz w:val="28"/>
          <w:szCs w:val="28"/>
          <w:highlight w:val="none"/>
          <w:lang w:val="en-US" w:eastAsia="zh-CN"/>
        </w:rPr>
        <w:t>整备实施范围暂定为74.67公顷。经摸查，区域涉及新田、松轩、新源、樟溪4个社区</w:t>
      </w:r>
      <w:r>
        <w:rPr>
          <w:rFonts w:hint="eastAsia" w:ascii="仿宋_GB2312" w:hAnsi="仿宋_GB2312" w:eastAsia="仿宋_GB2312" w:cs="仿宋_GB2312"/>
          <w:sz w:val="28"/>
          <w:szCs w:val="28"/>
        </w:rPr>
        <w:t>、19家股份公司，地上房屋约1005栋，建筑面积约80.83万平方米，房屋类型涉及村集体物业、工业厂房、原村民私宅、小产权楼、学校、消防站、碉楼等。涉及权利人约1102户（非住宅110户、住宅992户）、租户776家。</w:t>
      </w:r>
    </w:p>
    <w:p w14:paraId="79C5F995">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3、服务时间：</w:t>
      </w:r>
      <w:r>
        <w:rPr>
          <w:rFonts w:hint="eastAsia" w:ascii="仿宋" w:hAnsi="仿宋" w:eastAsia="仿宋" w:cs="仿宋"/>
          <w:sz w:val="28"/>
          <w:szCs w:val="28"/>
        </w:rPr>
        <w:t>自合同签订之日起 730 天（日历日）</w:t>
      </w:r>
      <w:r>
        <w:rPr>
          <w:rFonts w:hint="eastAsia" w:ascii="仿宋_GB2312" w:hAnsi="仿宋_GB2312" w:eastAsia="仿宋_GB2312" w:cs="仿宋_GB2312"/>
          <w:sz w:val="28"/>
          <w:szCs w:val="28"/>
        </w:rPr>
        <w:t>，实际服务期限自合同签订之日起至项目结束止。</w:t>
      </w:r>
    </w:p>
    <w:p w14:paraId="33ECB4E8">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4、合同价款：合同暂定总价为</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u w:val="single"/>
        </w:rPr>
        <w:t xml:space="preserve"> 545,602.5</w:t>
      </w:r>
      <w:r>
        <w:rPr>
          <w:rFonts w:hint="eastAsia" w:ascii="仿宋_GB2312" w:hAnsi="仿宋_GB2312" w:eastAsia="仿宋_GB2312" w:cs="仿宋_GB2312"/>
          <w:b/>
          <w:bCs/>
          <w:sz w:val="28"/>
          <w:szCs w:val="28"/>
          <w:u w:val="single"/>
          <w:lang w:val="en-US" w:eastAsia="zh-CN"/>
        </w:rPr>
        <w:t>0</w:t>
      </w:r>
      <w:r>
        <w:rPr>
          <w:rFonts w:hint="eastAsia" w:ascii="仿宋_GB2312" w:hAnsi="仿宋_GB2312" w:eastAsia="仿宋_GB2312" w:cs="仿宋_GB2312"/>
          <w:b/>
          <w:bCs/>
          <w:sz w:val="28"/>
          <w:szCs w:val="28"/>
          <w:u w:val="single"/>
        </w:rPr>
        <w:t>（大写：人民币伍拾肆万伍仟陆佰零贰元伍角整）</w:t>
      </w:r>
      <w:r>
        <w:rPr>
          <w:rFonts w:hint="eastAsia" w:ascii="仿宋_GB2312" w:hAnsi="仿宋_GB2312" w:eastAsia="仿宋_GB2312" w:cs="仿宋_GB2312"/>
          <w:b w:val="0"/>
          <w:bCs w:val="0"/>
          <w:sz w:val="28"/>
          <w:szCs w:val="28"/>
          <w:u w:val="single"/>
        </w:rPr>
        <w:t>，</w:t>
      </w:r>
      <w:r>
        <w:rPr>
          <w:rFonts w:hint="eastAsia" w:ascii="仿宋_GB2312" w:hAnsi="仿宋_GB2312" w:eastAsia="仿宋_GB2312" w:cs="仿宋_GB2312"/>
          <w:sz w:val="28"/>
          <w:szCs w:val="28"/>
        </w:rPr>
        <w:t>含一切税、费。本合同总价包括乙方为实施本项目荷载试验所需的设备仪器费、车辆租赁费、服务和技术费用等，为暂定价格。合同价包括乙方履行本合同义务所发生的一切费用和支出和以各种方式寄送技术资料到甲方办公室所发生的费用。如发生本合同规定的不可抗力，合同总价可经双方友好协商予以调整。</w:t>
      </w:r>
    </w:p>
    <w:p w14:paraId="06387F44">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第二条  服务范围</w:t>
      </w:r>
    </w:p>
    <w:p w14:paraId="6053267C">
      <w:pPr>
        <w:spacing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1.审核项目的补偿标准及方案是否符合现行的</w:t>
      </w:r>
      <w:r>
        <w:rPr>
          <w:rFonts w:hint="eastAsia" w:ascii="仿宋_GB2312" w:hAnsi="仿宋_GB2312" w:eastAsia="仿宋_GB2312" w:cs="仿宋_GB2312"/>
          <w:color w:val="000000"/>
          <w:sz w:val="28"/>
          <w:szCs w:val="28"/>
          <w:lang w:val="en-US" w:eastAsia="zh-CN"/>
        </w:rPr>
        <w:t>土地整备利益统筹</w:t>
      </w:r>
      <w:r>
        <w:rPr>
          <w:rFonts w:hint="eastAsia" w:ascii="仿宋_GB2312" w:hAnsi="仿宋_GB2312" w:eastAsia="仿宋_GB2312" w:cs="仿宋_GB2312"/>
          <w:color w:val="000000"/>
          <w:sz w:val="28"/>
          <w:szCs w:val="28"/>
        </w:rPr>
        <w:t>补偿政策。</w:t>
      </w:r>
    </w:p>
    <w:p w14:paraId="7C193E31">
      <w:pPr>
        <w:spacing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2.核对项目</w:t>
      </w:r>
      <w:r>
        <w:rPr>
          <w:rFonts w:hint="eastAsia" w:ascii="仿宋_GB2312" w:hAnsi="仿宋_GB2312" w:eastAsia="仿宋_GB2312" w:cs="仿宋_GB2312"/>
          <w:color w:val="000000"/>
          <w:sz w:val="28"/>
          <w:szCs w:val="28"/>
          <w:lang w:val="en-US" w:eastAsia="zh-CN"/>
        </w:rPr>
        <w:t>土地整备利益统筹</w:t>
      </w:r>
      <w:r>
        <w:rPr>
          <w:rFonts w:hint="eastAsia" w:ascii="仿宋_GB2312" w:hAnsi="仿宋_GB2312" w:eastAsia="仿宋_GB2312" w:cs="仿宋_GB2312"/>
          <w:color w:val="000000"/>
          <w:sz w:val="28"/>
          <w:szCs w:val="28"/>
        </w:rPr>
        <w:t>补偿价值清单是否符合现行政策及具备补偿依据。</w:t>
      </w:r>
    </w:p>
    <w:p w14:paraId="41FE9466">
      <w:pPr>
        <w:spacing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对项目评估报告（初稿或正式报告）的复核。以单份评估报告计算，乙方自收到评估报告初稿之日起，2个工作日内出具复核书面意见；自收到评估正式报告之日起，3个工作日内出具经乙方盖章的书面复核报告。</w:t>
      </w:r>
    </w:p>
    <w:p w14:paraId="0EA9A766">
      <w:pPr>
        <w:spacing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4.核对评估报告</w:t>
      </w:r>
      <w:r>
        <w:rPr>
          <w:rFonts w:hint="eastAsia" w:ascii="仿宋_GB2312" w:hAnsi="仿宋_GB2312" w:eastAsia="仿宋_GB2312" w:cs="仿宋_GB2312"/>
          <w:color w:val="000000"/>
          <w:sz w:val="28"/>
          <w:szCs w:val="28"/>
          <w:lang w:val="en-US" w:eastAsia="zh-CN"/>
        </w:rPr>
        <w:t>包括但不限于以下内容：</w:t>
      </w:r>
      <w:r>
        <w:rPr>
          <w:rFonts w:hint="eastAsia" w:ascii="仿宋_GB2312" w:hAnsi="仿宋_GB2312" w:eastAsia="仿宋_GB2312" w:cs="仿宋_GB2312"/>
          <w:color w:val="000000"/>
          <w:sz w:val="28"/>
          <w:szCs w:val="28"/>
        </w:rPr>
        <w:t>基础数据、估价依据、估价原则、估价流程、估价方法、估价技术路线、评估参数、估价结果的确定方法、报告规范性及附件完整性等，做到统一技术标准，平衡补偿价格，保证评估报告质量。</w:t>
      </w:r>
    </w:p>
    <w:p w14:paraId="685C7E4F">
      <w:pPr>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5.参与在信息核查及补偿方案中涉及评估的相关事项。</w:t>
      </w:r>
    </w:p>
    <w:p w14:paraId="322BD5B9">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第三条  时间要求及阶段成果</w:t>
      </w:r>
    </w:p>
    <w:p w14:paraId="31C24816">
      <w:pPr>
        <w:spacing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1、合同签订7天内完成项目实施的准备工作，包括工作大纲和补偿方案审核工作；</w:t>
      </w:r>
    </w:p>
    <w:p w14:paraId="0BEBF115">
      <w:pPr>
        <w:spacing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对有异议的报告出具书面意见，必要时申请技术鉴定。评估中涉及到的任何一方对评估报告有异议，可提请将报告送深圳市不动产学会专业技术委员会进行技术鉴定，鉴定结果为不存在技术问题的，由提请方承担申请鉴定的费用；鉴定结果为存在技术问题的，由评估公司承担申请鉴定的费用，同时修改或重做报告。如果甲方对评估报告有异议，乙方应负责根据甲方要求办理申请鉴定，费用由甲方垫付，最后根据结果由责任方承担；</w:t>
      </w:r>
    </w:p>
    <w:p w14:paraId="60849249">
      <w:pPr>
        <w:spacing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、为确保评估质量，对评估标的进行现场抽样检查，根据评估报告核对被</w:t>
      </w:r>
      <w:r>
        <w:rPr>
          <w:rFonts w:hint="eastAsia" w:ascii="仿宋_GB2312" w:hAnsi="仿宋_GB2312" w:eastAsia="仿宋_GB2312" w:cs="仿宋_GB2312"/>
          <w:color w:val="000000"/>
          <w:sz w:val="28"/>
          <w:szCs w:val="28"/>
          <w:lang w:val="en-US" w:eastAsia="zh-CN"/>
        </w:rPr>
        <w:t>拆迁</w:t>
      </w:r>
      <w:r>
        <w:rPr>
          <w:rFonts w:hint="eastAsia" w:ascii="仿宋_GB2312" w:hAnsi="仿宋_GB2312" w:eastAsia="仿宋_GB2312" w:cs="仿宋_GB2312"/>
          <w:color w:val="000000"/>
          <w:sz w:val="28"/>
          <w:szCs w:val="28"/>
        </w:rPr>
        <w:t>房屋实际情况进行检查，并出具复核评估报告及书面意见。</w:t>
      </w:r>
    </w:p>
    <w:p w14:paraId="1C6546C5">
      <w:pPr>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第四条 履约时间和地点</w:t>
      </w:r>
    </w:p>
    <w:p w14:paraId="797C9348">
      <w:pPr>
        <w:spacing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1、履约时间</w:t>
      </w:r>
      <w:r>
        <w:rPr>
          <w:rFonts w:hint="eastAsia" w:ascii="仿宋_GB2312" w:hAnsi="仿宋_GB2312" w:eastAsia="仿宋_GB2312" w:cs="仿宋_GB2312"/>
          <w:color w:val="000000"/>
          <w:sz w:val="28"/>
          <w:szCs w:val="28"/>
          <w:u w:val="none"/>
        </w:rPr>
        <w:t>：</w:t>
      </w:r>
      <w:r>
        <w:rPr>
          <w:rFonts w:hint="eastAsia" w:ascii="仿宋_GB2312" w:hAnsi="仿宋_GB2312" w:eastAsia="仿宋_GB2312" w:cs="仿宋_GB2312"/>
          <w:color w:val="000000"/>
          <w:sz w:val="28"/>
          <w:szCs w:val="28"/>
          <w:u w:val="single"/>
        </w:rPr>
        <w:t>以甲方在项目实施中实际要求的时间为准</w:t>
      </w:r>
      <w:r>
        <w:rPr>
          <w:rFonts w:hint="eastAsia" w:ascii="仿宋_GB2312" w:hAnsi="仿宋_GB2312" w:eastAsia="仿宋_GB2312" w:cs="仿宋_GB2312"/>
          <w:color w:val="000000"/>
          <w:sz w:val="28"/>
          <w:szCs w:val="28"/>
        </w:rPr>
        <w:t>；</w:t>
      </w:r>
    </w:p>
    <w:p w14:paraId="78D797FD">
      <w:pPr>
        <w:spacing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2、履约地点：深圳市龙华区。</w:t>
      </w:r>
    </w:p>
    <w:p w14:paraId="1989797D">
      <w:pPr>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第五条 咨询服务资料归属</w:t>
      </w:r>
    </w:p>
    <w:p w14:paraId="558764B5">
      <w:pPr>
        <w:spacing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所有提交给甲方的咨询服务文件及相关的资料的最后文本，包括为履行评估督导服务范围所编制的补偿方案、权属核查资料、测绘及监理、评估及督导报告等，都属于甲方的财产，乙方在提交给甲方之前应将上述资料进行整理归类和编制索引。</w:t>
      </w:r>
    </w:p>
    <w:p w14:paraId="5FC5CFCF">
      <w:pPr>
        <w:spacing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2、乙方未经甲方的书面同意，不得将上述资料用于与本咨询服务项目之外的任何项目或以其他任何形式公开。</w:t>
      </w:r>
    </w:p>
    <w:p w14:paraId="5B1BA23E">
      <w:pPr>
        <w:spacing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3、合同履行完毕，未经甲方的书面同意，乙方不得保存在履行合同过程中所获得或接触到的任何本项目内部数据资料。</w:t>
      </w:r>
    </w:p>
    <w:p w14:paraId="47034981">
      <w:pPr>
        <w:spacing w:line="560" w:lineRule="exact"/>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rPr>
        <w:t xml:space="preserve">第六条  </w:t>
      </w:r>
      <w:r>
        <w:rPr>
          <w:rFonts w:hint="eastAsia" w:ascii="仿宋_GB2312" w:hAnsi="仿宋_GB2312" w:eastAsia="仿宋_GB2312" w:cs="仿宋_GB2312"/>
          <w:b/>
          <w:bCs/>
          <w:color w:val="auto"/>
          <w:sz w:val="32"/>
          <w:szCs w:val="32"/>
        </w:rPr>
        <w:t>甲方的权利义务</w:t>
      </w:r>
    </w:p>
    <w:p w14:paraId="0B7BEC98">
      <w:pPr>
        <w:spacing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1、在合理的时间内及时向乙方提供其权力范围内可获得的、与服务有关的资料，并对提供材料的真实性、准确性和合法性负责。</w:t>
      </w:r>
    </w:p>
    <w:p w14:paraId="0CF64981">
      <w:pPr>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bCs/>
          <w:color w:val="000000"/>
          <w:sz w:val="28"/>
          <w:szCs w:val="28"/>
        </w:rPr>
        <w:t>根据督导服务工作需要，协助乙方到其他单位收集与本项目有关的信息</w:t>
      </w:r>
      <w:r>
        <w:rPr>
          <w:rFonts w:hint="eastAsia" w:ascii="仿宋_GB2312" w:hAnsi="仿宋_GB2312" w:eastAsia="仿宋_GB2312" w:cs="仿宋_GB2312"/>
          <w:color w:val="000000"/>
          <w:sz w:val="28"/>
          <w:szCs w:val="28"/>
        </w:rPr>
        <w:t>。</w:t>
      </w:r>
    </w:p>
    <w:p w14:paraId="53011EE9">
      <w:pPr>
        <w:spacing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3、对于乙方书面正式提交的有关请求事项，甲方经研究后认为有必要的，需在收到乙方书面材料之后尽快做出决定，保障项目技术咨询工作顺利开展。</w:t>
      </w:r>
    </w:p>
    <w:p w14:paraId="58559A87">
      <w:pPr>
        <w:spacing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4、当甲方认定乙方人员不按合同履行其职责，或与第三人串通给甲方造成经济损失的，甲方有权要求乙方更换项目人员，直至终止合同并要求乙方承担相应的赔偿责任。</w:t>
      </w:r>
    </w:p>
    <w:p w14:paraId="49B4431D">
      <w:pPr>
        <w:adjustRightInd w:val="0"/>
        <w:snapToGrid w:val="0"/>
        <w:spacing w:line="560" w:lineRule="exact"/>
        <w:ind w:firstLine="554" w:firstLineChars="198"/>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5、甲方有权向乙方询问工作进展情况及相关的内容，要求乙方对评估督导事宜作出书面解释。并且甲方有权根据项目的进展及需要，对乙方提交工作成果的期限提出要求。</w:t>
      </w:r>
    </w:p>
    <w:p w14:paraId="7AC046EB">
      <w:pPr>
        <w:adjustRightInd w:val="0"/>
        <w:snapToGrid w:val="0"/>
        <w:spacing w:line="560" w:lineRule="exact"/>
        <w:ind w:firstLine="554" w:firstLineChars="198"/>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6、甲方按照有关规定及本合同的有关条款支付评估督导服务费用，因乙方请款前未向甲方提供等额合法的税务发票导致的延迟付款，甲方</w:t>
      </w:r>
      <w:r>
        <w:rPr>
          <w:rFonts w:hint="eastAsia" w:ascii="仿宋_GB2312" w:hAnsi="仿宋_GB2312" w:eastAsia="仿宋_GB2312" w:cs="仿宋_GB2312"/>
          <w:color w:val="000000"/>
          <w:sz w:val="28"/>
          <w:szCs w:val="28"/>
          <w:lang w:val="en-US" w:eastAsia="zh-CN"/>
        </w:rPr>
        <w:t>有权拒绝付款，且</w:t>
      </w:r>
      <w:r>
        <w:rPr>
          <w:rFonts w:hint="eastAsia" w:ascii="仿宋_GB2312" w:hAnsi="仿宋_GB2312" w:eastAsia="仿宋_GB2312" w:cs="仿宋_GB2312"/>
          <w:color w:val="000000"/>
          <w:sz w:val="28"/>
          <w:szCs w:val="28"/>
        </w:rPr>
        <w:t>不承担违约责任。</w:t>
      </w:r>
    </w:p>
    <w:p w14:paraId="7E151061">
      <w:pPr>
        <w:adjustRightInd w:val="0"/>
        <w:snapToGrid w:val="0"/>
        <w:spacing w:line="560" w:lineRule="exact"/>
        <w:ind w:firstLine="554" w:firstLineChars="198"/>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7、甲方建立履约评价考核体系，有权监督、审查乙方的工作开展情况，提出建议和意见，督促乙方落实改进，乙方须无条件接受甲方的考评。</w:t>
      </w:r>
    </w:p>
    <w:p w14:paraId="2C3333E2">
      <w:pPr>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w:t>
      </w:r>
      <w:r>
        <w:rPr>
          <w:rFonts w:hint="eastAsia" w:ascii="仿宋_GB2312" w:hAnsi="仿宋_GB2312" w:eastAsia="仿宋_GB2312" w:cs="仿宋_GB2312"/>
          <w:b/>
          <w:bCs/>
          <w:color w:val="auto"/>
          <w:sz w:val="32"/>
          <w:szCs w:val="32"/>
        </w:rPr>
        <w:t>乙方的权利义务</w:t>
      </w:r>
    </w:p>
    <w:p w14:paraId="55BC5233">
      <w:pPr>
        <w:spacing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乙方有权按照有关规定及本合同有关条款收取评估督导服务费用，但乙方请款前应向甲方提供请款报告、该项目工作方案、外业抽检记录及能直观反映外业工作量的图片或相关资料、补偿方案复核意见和等额合法的税务发票等。</w:t>
      </w:r>
    </w:p>
    <w:p w14:paraId="1333D37A">
      <w:pPr>
        <w:adjustRightInd w:val="0"/>
        <w:snapToGrid w:val="0"/>
        <w:spacing w:line="560" w:lineRule="exact"/>
        <w:ind w:firstLine="554" w:firstLineChars="198"/>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2、在预算方案呈报审批前，乙方必须为甲方出具预评估意见。</w:t>
      </w:r>
    </w:p>
    <w:p w14:paraId="74B79DEB">
      <w:pPr>
        <w:spacing w:line="560" w:lineRule="exact"/>
        <w:ind w:left="2" w:leftChars="1"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bCs/>
          <w:color w:val="000000"/>
          <w:sz w:val="28"/>
          <w:szCs w:val="28"/>
        </w:rPr>
        <w:t>乙方应按照甲方规定的工作范围、内容和程序实施评估督导服务工作。乙方在评估督导服务过程中应当遵守国家有关法律、法规，维护甲方的合法权益，做到客观公正、实事求是、廉洁诚信，保持严谨、负责的职业态度。</w:t>
      </w:r>
    </w:p>
    <w:p w14:paraId="2F43753F">
      <w:pPr>
        <w:spacing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4、乙方必须组织专业人员按甲方规定的时间、质量要求完成甲方所委托的全部工作，按时交付工作成果，并对工作成果的准确性负责。</w:t>
      </w:r>
    </w:p>
    <w:p w14:paraId="16BC5943">
      <w:pPr>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5、乙方在履行本合同的过程中遇到的问题应及时主动与甲方沟通，并有义务参加甲方组织的与本项目事项有关的会议，向甲方介绍、解答、解释其服务成果，并提供有关补充资料。</w:t>
      </w:r>
    </w:p>
    <w:p w14:paraId="7F0E4107">
      <w:pPr>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6、乙方在履行本合同过程中应接受甲方的监督，接受甲方关于工作进展情况及相关内容的询问，就甲方提出的意见和要求及时提出处理意见。</w:t>
      </w:r>
    </w:p>
    <w:p w14:paraId="26A08815">
      <w:pPr>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7、当</w:t>
      </w:r>
      <w:r>
        <w:rPr>
          <w:rFonts w:hint="eastAsia" w:ascii="仿宋_GB2312" w:hAnsi="仿宋_GB2312" w:eastAsia="仿宋_GB2312" w:cs="仿宋_GB2312"/>
          <w:bCs/>
          <w:color w:val="000000"/>
          <w:sz w:val="28"/>
          <w:szCs w:val="28"/>
        </w:rPr>
        <w:t>评估公司</w:t>
      </w:r>
      <w:r>
        <w:rPr>
          <w:rFonts w:hint="eastAsia" w:ascii="仿宋_GB2312" w:hAnsi="仿宋_GB2312" w:eastAsia="仿宋_GB2312" w:cs="仿宋_GB2312"/>
          <w:color w:val="000000"/>
          <w:sz w:val="28"/>
          <w:szCs w:val="28"/>
        </w:rPr>
        <w:t>对乙方的评估督导工作存在疑问时，乙方有义务及时进行答复，并按时参加由甲方组织的论证会。</w:t>
      </w:r>
    </w:p>
    <w:p w14:paraId="698E1DB3">
      <w:pPr>
        <w:widowControl/>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8、乙方应遵守甲方保密制度及本合同约定的保密义务。 </w:t>
      </w:r>
    </w:p>
    <w:p w14:paraId="7082C21D">
      <w:pPr>
        <w:spacing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9、未经甲方书面同意，乙方不得随意更换所派出的项目负责人。</w:t>
      </w:r>
    </w:p>
    <w:p w14:paraId="3EE5D967">
      <w:pPr>
        <w:spacing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10、乙方及其工作人员不得在服务期内从事与本合同书任务相冲突的商业或职业活动。</w:t>
      </w:r>
    </w:p>
    <w:p w14:paraId="5402526C">
      <w:pPr>
        <w:spacing w:line="56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11、项目售后服务期限为2年，结束后且乙方提交的工作成果经甲方审核通过之日起，乙方免费提供2年的技术支持，乙方在售后服务期限内提供数据更新、相关咨询、协调和项目审查等技术支持。</w:t>
      </w:r>
    </w:p>
    <w:p w14:paraId="66C4B157">
      <w:pPr>
        <w:tabs>
          <w:tab w:val="left" w:pos="540"/>
        </w:tabs>
        <w:spacing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12、乙方不得转委托本合同项下的所有工作内容。</w:t>
      </w:r>
    </w:p>
    <w:p w14:paraId="6FA79246">
      <w:pPr>
        <w:spacing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乙方委派人员与甲方不存在任何劳动、雇佣或用工关系，乙方应按照法律规定履行与委派人员签订劳动合同、支付工资等义务，因委派人员产生的所有责任包括工伤等均由乙方承担，如导致甲方损失，由乙方负责赔偿。</w:t>
      </w:r>
    </w:p>
    <w:p w14:paraId="551F3302">
      <w:pPr>
        <w:spacing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14、如乙方未履行本合同项下义务或履行本合同项下义务不符合本合同约定或甲方要求，应当承担继续履行、采取补救措施或者赔偿损失等违约责任。</w:t>
      </w:r>
    </w:p>
    <w:p w14:paraId="08F4B806">
      <w:pPr>
        <w:tabs>
          <w:tab w:val="left" w:pos="540"/>
        </w:tabs>
        <w:spacing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、其他本合同项下乙方应履行的义务。</w:t>
      </w:r>
    </w:p>
    <w:p w14:paraId="756C61AC">
      <w:pPr>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甲方的责任</w:t>
      </w:r>
    </w:p>
    <w:p w14:paraId="1B7C94FB">
      <w:pPr>
        <w:tabs>
          <w:tab w:val="left" w:pos="540"/>
        </w:tabs>
        <w:spacing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1、应当履行本合同约定的义务，如有违反则应当承担违约责任，赔偿给乙方造成的损失。</w:t>
      </w:r>
    </w:p>
    <w:p w14:paraId="6689AC66">
      <w:pPr>
        <w:tabs>
          <w:tab w:val="left" w:pos="540"/>
        </w:tabs>
        <w:spacing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2、甲方向乙方提出赔偿要求不能成立时，则应补偿由于该赔偿或其他要求所导致乙方的各种费用的支出。</w:t>
      </w:r>
    </w:p>
    <w:p w14:paraId="45FB8349">
      <w:pPr>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第九条  乙方的责任</w:t>
      </w:r>
    </w:p>
    <w:p w14:paraId="08ADB21A">
      <w:pPr>
        <w:tabs>
          <w:tab w:val="left" w:pos="540"/>
        </w:tabs>
        <w:spacing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1、乙方的责任期即本合同有效期。如因非乙方的责任造成进度的推迟或延误而超过约定的日期，双方应进一步约定相应延长合同有效期。</w:t>
      </w:r>
    </w:p>
    <w:p w14:paraId="3D336A00">
      <w:pPr>
        <w:tabs>
          <w:tab w:val="left" w:pos="540"/>
        </w:tabs>
        <w:spacing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2、乙方的责任期内，应当履行本合同中约定的义务，因乙方的单方过失造成的经济损失，应当向甲方进行赔偿。</w:t>
      </w:r>
    </w:p>
    <w:p w14:paraId="128D70BD">
      <w:pPr>
        <w:tabs>
          <w:tab w:val="left" w:pos="540"/>
        </w:tabs>
        <w:spacing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3、乙方对甲方或第三方所提出的问题不能及时核对或答复，导致合同不能全部或部分履行，乙方应承担责任。</w:t>
      </w:r>
    </w:p>
    <w:p w14:paraId="36647963">
      <w:pPr>
        <w:tabs>
          <w:tab w:val="left" w:pos="540"/>
        </w:tabs>
        <w:spacing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4、乙方向甲方提出赔偿要求不能成立时，则应补偿由于该赔偿或其他要求所导致甲方的各种费用的支出。</w:t>
      </w:r>
    </w:p>
    <w:p w14:paraId="2C06901A">
      <w:pPr>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第十条  人员要求</w:t>
      </w:r>
    </w:p>
    <w:p w14:paraId="2ADAA430">
      <w:pPr>
        <w:tabs>
          <w:tab w:val="left" w:pos="540"/>
        </w:tabs>
        <w:spacing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1、本项目执行期间，乙方拟投入团队成员中需为</w:t>
      </w:r>
      <w:r>
        <w:rPr>
          <w:rFonts w:hint="eastAsia" w:ascii="仿宋_GB2312" w:hAnsi="仿宋_GB2312" w:eastAsia="仿宋_GB2312" w:cs="仿宋_GB2312"/>
          <w:color w:val="000000"/>
          <w:sz w:val="28"/>
          <w:szCs w:val="28"/>
          <w:lang w:eastAsia="zh-CN"/>
        </w:rPr>
        <w:t>下围地块土地整备利益统筹项目</w:t>
      </w:r>
      <w:r>
        <w:rPr>
          <w:rFonts w:hint="eastAsia" w:ascii="仿宋_GB2312" w:hAnsi="仿宋_GB2312" w:eastAsia="仿宋_GB2312" w:cs="仿宋_GB2312"/>
          <w:color w:val="000000"/>
          <w:sz w:val="28"/>
          <w:szCs w:val="28"/>
        </w:rPr>
        <w:t>评估督导服务安排项目负责人</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single"/>
        </w:rPr>
        <w:t>1</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rPr>
        <w:t>名，项目其他技术人员</w:t>
      </w:r>
      <w:r>
        <w:rPr>
          <w:rFonts w:hint="eastAsia" w:ascii="仿宋_GB2312" w:hAnsi="仿宋_GB2312" w:eastAsia="仿宋_GB2312" w:cs="仿宋_GB2312"/>
          <w:color w:val="000000"/>
          <w:sz w:val="28"/>
          <w:szCs w:val="28"/>
          <w:u w:val="single"/>
          <w:lang w:val="en-US" w:eastAsia="zh-CN"/>
        </w:rPr>
        <w:t xml:space="preserve"> 4 </w:t>
      </w:r>
      <w:r>
        <w:rPr>
          <w:rFonts w:hint="eastAsia" w:ascii="仿宋_GB2312" w:hAnsi="仿宋_GB2312" w:eastAsia="仿宋_GB2312" w:cs="仿宋_GB2312"/>
          <w:color w:val="000000"/>
          <w:sz w:val="28"/>
          <w:szCs w:val="28"/>
        </w:rPr>
        <w:t>名，团队成员均须具备评估服务相关资质、熟练评估工作。合计共</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名工作人员，其中乙方拟派团队项目负责人和</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名技术人员必须常驻甲方项目指挥部现场。</w:t>
      </w:r>
    </w:p>
    <w:p w14:paraId="427FB654">
      <w:pPr>
        <w:tabs>
          <w:tab w:val="left" w:pos="540"/>
        </w:tabs>
        <w:spacing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2、项目负责人和主要技术成员在实施工程中不能更换，如需更换，必须得到甲方的书面批准同意，未经批准更换项目负责人和主要技术成员的，罚款3万元/人；同时失去本单位一年内的投标资格。</w:t>
      </w:r>
    </w:p>
    <w:p w14:paraId="52F32848">
      <w:pPr>
        <w:tabs>
          <w:tab w:val="left" w:pos="540"/>
        </w:tabs>
        <w:spacing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3、项目负责人和主要技术成员在服务本项目期间，不能兼职。若违反本要求，罚款3万元/人，同时失去参与甲方及关联单位下一次招标时的投标资格。</w:t>
      </w:r>
    </w:p>
    <w:p w14:paraId="7FE53FBB">
      <w:pPr>
        <w:tabs>
          <w:tab w:val="left" w:pos="540"/>
        </w:tabs>
        <w:spacing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乙方项目成员需无条件服从甲方的工作管理及安排，遵守甲方制定的履约评价考核制度，项目过程中因工作需要，甲方要求乙方增加工作人员或临时加班的，乙方需无条件执行。合同价已综合考虑该部分费用，不另行增加费用。</w:t>
      </w:r>
    </w:p>
    <w:p w14:paraId="0DF9DA2C">
      <w:pPr>
        <w:tabs>
          <w:tab w:val="left" w:pos="540"/>
        </w:tabs>
        <w:spacing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5、乙方指定项目总负责人∶</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highlight w:val="none"/>
        </w:rPr>
        <w:t>联系电话</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w:t>
      </w:r>
    </w:p>
    <w:p w14:paraId="1996CA72">
      <w:pPr>
        <w:pStyle w:val="2"/>
        <w:spacing w:line="560" w:lineRule="exact"/>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 xml:space="preserve">    6、当甲方认定乙方工作人员未按照甲方要求履行职责，可要求乙方更换工作人员，若经合理期限内，乙方未按照甲方要求更换工作人员或更换的工作人员仍不符合甲方要求的，甲方有权解除合同并要求乙方承担甲方因此遭受的损失。</w:t>
      </w:r>
    </w:p>
    <w:p w14:paraId="24A2D042">
      <w:pPr>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第十一条  乙方咨询服务工具要求</w:t>
      </w:r>
    </w:p>
    <w:p w14:paraId="7B098ADD">
      <w:pPr>
        <w:tabs>
          <w:tab w:val="left" w:pos="540"/>
        </w:tabs>
        <w:spacing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配备电脑（笔记本或台式）及办公需要的设备（办公所有费用由乙方支付）。</w:t>
      </w:r>
    </w:p>
    <w:p w14:paraId="5E554E92">
      <w:pPr>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第十二条  保密要求</w:t>
      </w:r>
    </w:p>
    <w:p w14:paraId="05D32C14">
      <w:pPr>
        <w:tabs>
          <w:tab w:val="left" w:pos="540"/>
        </w:tabs>
        <w:spacing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6221495F">
      <w:pPr>
        <w:tabs>
          <w:tab w:val="left" w:pos="540"/>
        </w:tabs>
        <w:spacing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2、乙方在履行合同过程中所获得或接触到的任何内部数据资料，未经甲方同意，不得利用知悉的属于甲方的资料及信息为自己谋利向第三方透露。且该保密义务不受本合同法律效力和期限的限制，一直有效。</w:t>
      </w:r>
    </w:p>
    <w:p w14:paraId="050E99AA">
      <w:pPr>
        <w:tabs>
          <w:tab w:val="left" w:pos="540"/>
        </w:tabs>
        <w:spacing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3、乙方实施项目的一切程序都应符合国家安全、保密的有关规定和标准。</w:t>
      </w:r>
    </w:p>
    <w:p w14:paraId="448219BD">
      <w:pPr>
        <w:tabs>
          <w:tab w:val="left" w:pos="540"/>
        </w:tabs>
        <w:spacing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4、乙方参加项目的有关人员均需同甲方签订保密协议。</w:t>
      </w:r>
    </w:p>
    <w:p w14:paraId="7520B2D3">
      <w:pPr>
        <w:spacing w:line="56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32"/>
          <w:szCs w:val="32"/>
        </w:rPr>
        <w:t xml:space="preserve">第十三条  验收 </w:t>
      </w:r>
      <w:r>
        <w:rPr>
          <w:rFonts w:hint="eastAsia" w:ascii="仿宋_GB2312" w:hAnsi="仿宋_GB2312" w:eastAsia="仿宋_GB2312" w:cs="仿宋_GB2312"/>
          <w:b/>
          <w:bCs/>
          <w:sz w:val="28"/>
          <w:szCs w:val="28"/>
        </w:rPr>
        <w:t xml:space="preserve">    </w:t>
      </w:r>
    </w:p>
    <w:p w14:paraId="50DA3C2F">
      <w:pPr>
        <w:tabs>
          <w:tab w:val="left" w:pos="540"/>
        </w:tabs>
        <w:spacing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验收依据为招标文件、乙方投标文件，国家和行业有关规范、规程和标准。</w:t>
      </w:r>
    </w:p>
    <w:p w14:paraId="36AEACFC">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第十四条  付款期限和方式</w:t>
      </w:r>
    </w:p>
    <w:p w14:paraId="299A7A85">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本合同暂定金额为¥</w:t>
      </w:r>
      <w:r>
        <w:rPr>
          <w:rFonts w:hint="eastAsia" w:ascii="仿宋_GB2312" w:hAnsi="仿宋_GB2312" w:eastAsia="仿宋_GB2312" w:cs="仿宋_GB2312"/>
          <w:b/>
          <w:bCs/>
          <w:sz w:val="28"/>
          <w:szCs w:val="28"/>
          <w:u w:val="single"/>
          <w:lang w:val="en-US" w:eastAsia="zh-CN"/>
        </w:rPr>
        <w:t xml:space="preserve">         </w:t>
      </w:r>
      <w:r>
        <w:rPr>
          <w:rFonts w:hint="eastAsia" w:ascii="仿宋_GB2312" w:hAnsi="仿宋_GB2312" w:eastAsia="仿宋_GB2312" w:cs="仿宋_GB2312"/>
          <w:b/>
          <w:bCs/>
          <w:sz w:val="28"/>
          <w:szCs w:val="28"/>
          <w:u w:val="single"/>
        </w:rPr>
        <w:t>（大写</w:t>
      </w:r>
      <w:r>
        <w:rPr>
          <w:rFonts w:hint="eastAsia" w:ascii="仿宋_GB2312" w:hAnsi="仿宋_GB2312" w:eastAsia="仿宋_GB2312" w:cs="仿宋_GB2312"/>
          <w:b/>
          <w:bCs/>
          <w:sz w:val="28"/>
          <w:szCs w:val="28"/>
          <w:u w:val="single"/>
          <w:lang w:val="en-US" w:eastAsia="zh-CN"/>
        </w:rPr>
        <w:t xml:space="preserve">：人民币        </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sz w:val="28"/>
          <w:szCs w:val="28"/>
        </w:rPr>
        <w:t>，最终结算总金额以实际评估</w:t>
      </w:r>
      <w:r>
        <w:rPr>
          <w:rFonts w:hint="eastAsia" w:ascii="仿宋_GB2312" w:hAnsi="仿宋_GB2312" w:eastAsia="仿宋_GB2312" w:cs="仿宋_GB2312"/>
          <w:sz w:val="28"/>
          <w:szCs w:val="28"/>
          <w:lang w:val="en-US" w:eastAsia="zh-CN"/>
        </w:rPr>
        <w:t>费用</w:t>
      </w:r>
      <w:r>
        <w:rPr>
          <w:rFonts w:hint="eastAsia" w:ascii="仿宋_GB2312" w:hAnsi="仿宋_GB2312" w:eastAsia="仿宋_GB2312" w:cs="仿宋_GB2312"/>
          <w:sz w:val="28"/>
          <w:szCs w:val="28"/>
        </w:rPr>
        <w:t>进行计算，服务费总额=实际评估项目结算费用×25%×中标折扣率（</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p w14:paraId="7EE42343">
      <w:pPr>
        <w:pStyle w:val="13"/>
        <w:widowControl/>
        <w:shd w:val="clear" w:color="auto" w:fill="FFFFFF"/>
        <w:spacing w:before="0" w:beforeAutospacing="0" w:after="0" w:afterAutospacing="0" w:line="560" w:lineRule="exact"/>
        <w:ind w:firstLine="560" w:firstLineChars="200"/>
        <w:rPr>
          <w:rStyle w:val="17"/>
          <w:rFonts w:hint="eastAsia" w:ascii="仿宋_GB2312" w:hAnsi="仿宋_GB2312" w:eastAsia="仿宋_GB2312" w:cs="仿宋_GB2312"/>
          <w:b w:val="0"/>
          <w:bCs/>
          <w:sz w:val="28"/>
          <w:szCs w:val="28"/>
          <w:shd w:val="clear" w:color="auto" w:fill="FFFFFF"/>
        </w:rPr>
      </w:pPr>
      <w:r>
        <w:rPr>
          <w:rStyle w:val="17"/>
          <w:rFonts w:hint="eastAsia" w:ascii="仿宋_GB2312" w:hAnsi="仿宋_GB2312" w:eastAsia="仿宋_GB2312" w:cs="仿宋_GB2312"/>
          <w:b w:val="0"/>
          <w:bCs/>
          <w:sz w:val="28"/>
          <w:szCs w:val="28"/>
          <w:shd w:val="clear" w:color="auto" w:fill="FFFFFF"/>
        </w:rPr>
        <w:t>1、评估报告审核完成60%（按照建筑面积）并出具督导报告，支付本项目暂定合同价的</w:t>
      </w:r>
      <w:r>
        <w:rPr>
          <w:rStyle w:val="17"/>
          <w:rFonts w:hint="eastAsia" w:ascii="仿宋_GB2312" w:hAnsi="仿宋_GB2312" w:eastAsia="仿宋_GB2312" w:cs="仿宋_GB2312"/>
          <w:b w:val="0"/>
          <w:bCs/>
          <w:sz w:val="28"/>
          <w:szCs w:val="28"/>
          <w:shd w:val="clear" w:color="auto" w:fill="FFFFFF"/>
          <w:lang w:val="en-US" w:eastAsia="zh-CN"/>
        </w:rPr>
        <w:t>4</w:t>
      </w:r>
      <w:r>
        <w:rPr>
          <w:rStyle w:val="17"/>
          <w:rFonts w:hint="eastAsia" w:ascii="仿宋_GB2312" w:hAnsi="仿宋_GB2312" w:eastAsia="仿宋_GB2312" w:cs="仿宋_GB2312"/>
          <w:b w:val="0"/>
          <w:bCs/>
          <w:sz w:val="28"/>
          <w:szCs w:val="28"/>
          <w:shd w:val="clear" w:color="auto" w:fill="FFFFFF"/>
        </w:rPr>
        <w:t>0%；</w:t>
      </w:r>
    </w:p>
    <w:p w14:paraId="33495D36">
      <w:pPr>
        <w:pStyle w:val="13"/>
        <w:widowControl/>
        <w:shd w:val="clear" w:color="auto" w:fill="FFFFFF"/>
        <w:spacing w:before="0" w:beforeAutospacing="0" w:after="0" w:afterAutospacing="0" w:line="560" w:lineRule="exact"/>
        <w:ind w:firstLine="560" w:firstLineChars="200"/>
        <w:rPr>
          <w:rStyle w:val="17"/>
          <w:rFonts w:hint="eastAsia" w:ascii="仿宋_GB2312" w:hAnsi="仿宋_GB2312" w:eastAsia="仿宋_GB2312" w:cs="仿宋_GB2312"/>
          <w:b w:val="0"/>
          <w:bCs/>
          <w:sz w:val="28"/>
          <w:szCs w:val="28"/>
          <w:shd w:val="clear" w:color="auto" w:fill="FFFFFF"/>
        </w:rPr>
      </w:pPr>
      <w:r>
        <w:rPr>
          <w:rStyle w:val="17"/>
          <w:rFonts w:hint="eastAsia" w:ascii="仿宋_GB2312" w:hAnsi="仿宋_GB2312" w:eastAsia="仿宋_GB2312" w:cs="仿宋_GB2312"/>
          <w:b w:val="0"/>
          <w:bCs/>
          <w:sz w:val="28"/>
          <w:szCs w:val="28"/>
          <w:shd w:val="clear" w:color="auto" w:fill="FFFFFF"/>
        </w:rPr>
        <w:t>2</w:t>
      </w:r>
      <w:r>
        <w:rPr>
          <w:rStyle w:val="17"/>
          <w:rFonts w:hint="eastAsia" w:ascii="仿宋_GB2312" w:hAnsi="仿宋_GB2312" w:eastAsia="仿宋_GB2312" w:cs="仿宋_GB2312"/>
          <w:b w:val="0"/>
          <w:bCs/>
          <w:sz w:val="28"/>
          <w:szCs w:val="28"/>
          <w:shd w:val="clear" w:color="auto" w:fill="FFFFFF"/>
          <w:lang w:eastAsia="zh-CN"/>
        </w:rPr>
        <w:t>、</w:t>
      </w:r>
      <w:r>
        <w:rPr>
          <w:rStyle w:val="17"/>
          <w:rFonts w:hint="eastAsia" w:ascii="仿宋_GB2312" w:hAnsi="仿宋_GB2312" w:eastAsia="仿宋_GB2312" w:cs="仿宋_GB2312"/>
          <w:b w:val="0"/>
          <w:bCs/>
          <w:sz w:val="28"/>
          <w:szCs w:val="28"/>
          <w:shd w:val="clear" w:color="auto" w:fill="FFFFFF"/>
        </w:rPr>
        <w:t>评估报告审核完成 90%（按照建筑面积）并出具督导报告，支付本项目</w:t>
      </w:r>
      <w:r>
        <w:rPr>
          <w:rStyle w:val="17"/>
          <w:rFonts w:hint="eastAsia" w:ascii="仿宋_GB2312" w:hAnsi="仿宋_GB2312" w:eastAsia="仿宋_GB2312" w:cs="仿宋_GB2312"/>
          <w:b w:val="0"/>
          <w:bCs/>
          <w:sz w:val="28"/>
          <w:szCs w:val="28"/>
          <w:shd w:val="clear" w:color="auto" w:fill="FFFFFF"/>
          <w:lang w:val="en-US" w:eastAsia="zh-CN"/>
        </w:rPr>
        <w:t>服务费总额</w:t>
      </w:r>
      <w:r>
        <w:rPr>
          <w:rStyle w:val="17"/>
          <w:rFonts w:hint="eastAsia" w:ascii="仿宋_GB2312" w:hAnsi="仿宋_GB2312" w:eastAsia="仿宋_GB2312" w:cs="仿宋_GB2312"/>
          <w:b w:val="0"/>
          <w:bCs/>
          <w:sz w:val="28"/>
          <w:szCs w:val="28"/>
          <w:shd w:val="clear" w:color="auto" w:fill="FFFFFF"/>
        </w:rPr>
        <w:t>的</w:t>
      </w:r>
      <w:r>
        <w:rPr>
          <w:rStyle w:val="17"/>
          <w:rFonts w:hint="eastAsia" w:ascii="仿宋_GB2312" w:hAnsi="仿宋_GB2312" w:eastAsia="仿宋_GB2312" w:cs="仿宋_GB2312"/>
          <w:b w:val="0"/>
          <w:bCs/>
          <w:sz w:val="28"/>
          <w:szCs w:val="28"/>
          <w:shd w:val="clear" w:color="auto" w:fill="FFFFFF"/>
          <w:lang w:val="en-US" w:eastAsia="zh-CN"/>
        </w:rPr>
        <w:t>35</w:t>
      </w:r>
      <w:r>
        <w:rPr>
          <w:rStyle w:val="17"/>
          <w:rFonts w:hint="eastAsia" w:ascii="仿宋_GB2312" w:hAnsi="仿宋_GB2312" w:eastAsia="仿宋_GB2312" w:cs="仿宋_GB2312"/>
          <w:b w:val="0"/>
          <w:bCs/>
          <w:sz w:val="28"/>
          <w:szCs w:val="28"/>
          <w:shd w:val="clear" w:color="auto" w:fill="FFFFFF"/>
        </w:rPr>
        <w:t>%；</w:t>
      </w:r>
    </w:p>
    <w:p w14:paraId="21CAE361">
      <w:pPr>
        <w:pStyle w:val="13"/>
        <w:widowControl/>
        <w:shd w:val="clear" w:color="auto" w:fill="FFFFFF"/>
        <w:spacing w:before="0" w:beforeAutospacing="0" w:after="0" w:afterAutospacing="0" w:line="560" w:lineRule="exact"/>
        <w:ind w:firstLine="560" w:firstLineChars="200"/>
        <w:rPr>
          <w:rStyle w:val="17"/>
          <w:rFonts w:hint="eastAsia" w:ascii="仿宋_GB2312" w:hAnsi="仿宋_GB2312" w:eastAsia="仿宋_GB2312" w:cs="仿宋_GB2312"/>
          <w:b w:val="0"/>
          <w:bCs/>
          <w:sz w:val="28"/>
          <w:szCs w:val="28"/>
          <w:shd w:val="clear" w:color="auto" w:fill="FFFFFF"/>
        </w:rPr>
      </w:pPr>
      <w:r>
        <w:rPr>
          <w:rStyle w:val="17"/>
          <w:rFonts w:hint="eastAsia" w:ascii="仿宋_GB2312" w:hAnsi="仿宋_GB2312" w:eastAsia="仿宋_GB2312" w:cs="仿宋_GB2312"/>
          <w:b w:val="0"/>
          <w:bCs/>
          <w:sz w:val="28"/>
          <w:szCs w:val="28"/>
          <w:shd w:val="clear" w:color="auto" w:fill="FFFFFF"/>
        </w:rPr>
        <w:t>3</w:t>
      </w:r>
      <w:r>
        <w:rPr>
          <w:rStyle w:val="17"/>
          <w:rFonts w:hint="eastAsia" w:ascii="仿宋_GB2312" w:hAnsi="仿宋_GB2312" w:eastAsia="仿宋_GB2312" w:cs="仿宋_GB2312"/>
          <w:b w:val="0"/>
          <w:bCs/>
          <w:sz w:val="28"/>
          <w:szCs w:val="28"/>
          <w:shd w:val="clear" w:color="auto" w:fill="FFFFFF"/>
          <w:lang w:eastAsia="zh-CN"/>
        </w:rPr>
        <w:t>、</w:t>
      </w:r>
      <w:r>
        <w:rPr>
          <w:rStyle w:val="17"/>
          <w:rFonts w:hint="eastAsia" w:ascii="仿宋_GB2312" w:hAnsi="仿宋_GB2312" w:eastAsia="仿宋_GB2312" w:cs="仿宋_GB2312"/>
          <w:b w:val="0"/>
          <w:bCs/>
          <w:sz w:val="28"/>
          <w:szCs w:val="28"/>
          <w:shd w:val="clear" w:color="auto" w:fill="FFFFFF"/>
        </w:rPr>
        <w:t>完成所有评估报告</w:t>
      </w:r>
      <w:r>
        <w:rPr>
          <w:rStyle w:val="17"/>
          <w:rFonts w:hint="eastAsia" w:ascii="仿宋_GB2312" w:hAnsi="仿宋_GB2312" w:eastAsia="仿宋_GB2312" w:cs="仿宋_GB2312"/>
          <w:b w:val="0"/>
          <w:bCs/>
          <w:sz w:val="28"/>
          <w:szCs w:val="28"/>
          <w:shd w:val="clear" w:color="auto" w:fill="FFFFFF"/>
          <w:lang w:val="en-US" w:eastAsia="zh-CN"/>
        </w:rPr>
        <w:t>审核</w:t>
      </w:r>
      <w:r>
        <w:rPr>
          <w:rStyle w:val="17"/>
          <w:rFonts w:hint="eastAsia" w:ascii="仿宋_GB2312" w:hAnsi="仿宋_GB2312" w:eastAsia="仿宋_GB2312" w:cs="仿宋_GB2312"/>
          <w:b w:val="0"/>
          <w:bCs/>
          <w:sz w:val="28"/>
          <w:szCs w:val="28"/>
          <w:shd w:val="clear" w:color="auto" w:fill="FFFFFF"/>
        </w:rPr>
        <w:t>并经甲方确认，甲方签订所有留用地出让合同后，完成结算后，支付至结算价的100%。</w:t>
      </w:r>
    </w:p>
    <w:p w14:paraId="300C97A7">
      <w:pPr>
        <w:pStyle w:val="13"/>
        <w:widowControl/>
        <w:shd w:val="clear" w:color="auto" w:fill="FFFFFF"/>
        <w:spacing w:before="0" w:beforeAutospacing="0" w:after="0" w:afterAutospacing="0" w:line="560" w:lineRule="exact"/>
        <w:ind w:firstLine="560" w:firstLineChars="200"/>
        <w:rPr>
          <w:rStyle w:val="17"/>
          <w:rFonts w:hint="eastAsia" w:ascii="仿宋_GB2312" w:hAnsi="仿宋_GB2312" w:eastAsia="仿宋_GB2312" w:cs="仿宋_GB2312"/>
          <w:b w:val="0"/>
          <w:bCs/>
          <w:sz w:val="28"/>
          <w:szCs w:val="28"/>
          <w:shd w:val="clear" w:color="auto" w:fill="FFFFFF"/>
        </w:rPr>
      </w:pPr>
      <w:r>
        <w:rPr>
          <w:rStyle w:val="17"/>
          <w:rFonts w:hint="eastAsia" w:ascii="仿宋_GB2312" w:hAnsi="仿宋_GB2312" w:eastAsia="仿宋_GB2312" w:cs="仿宋_GB2312"/>
          <w:b w:val="0"/>
          <w:bCs/>
          <w:sz w:val="28"/>
          <w:szCs w:val="28"/>
          <w:shd w:val="clear" w:color="auto" w:fill="FFFFFF"/>
        </w:rPr>
        <w:t>4</w:t>
      </w:r>
      <w:r>
        <w:rPr>
          <w:rStyle w:val="17"/>
          <w:rFonts w:hint="eastAsia" w:ascii="仿宋_GB2312" w:hAnsi="仿宋_GB2312" w:eastAsia="仿宋_GB2312" w:cs="仿宋_GB2312"/>
          <w:b w:val="0"/>
          <w:bCs/>
          <w:sz w:val="28"/>
          <w:szCs w:val="28"/>
          <w:shd w:val="clear" w:color="auto" w:fill="FFFFFF"/>
          <w:lang w:eastAsia="zh-CN"/>
        </w:rPr>
        <w:t>、</w:t>
      </w:r>
      <w:r>
        <w:rPr>
          <w:rStyle w:val="17"/>
          <w:rFonts w:hint="eastAsia" w:ascii="仿宋_GB2312" w:hAnsi="仿宋_GB2312" w:eastAsia="仿宋_GB2312" w:cs="仿宋_GB2312"/>
          <w:b w:val="0"/>
          <w:bCs/>
          <w:sz w:val="28"/>
          <w:szCs w:val="28"/>
          <w:shd w:val="clear" w:color="auto" w:fill="FFFFFF"/>
        </w:rPr>
        <w:t>甲方支付每期款项前，乙方须按照合同约定履行完相应义务并经甲方验收合格。甲方支付费用前，乙方需向甲方提供等额的增值税专用发票，否则甲方有权拒绝付款，且不承担任何法律责任。税费不因相关税收法律法规的改变而调整，由此增加的税务成本由</w:t>
      </w:r>
      <w:r>
        <w:rPr>
          <w:rStyle w:val="17"/>
          <w:rFonts w:hint="eastAsia" w:ascii="仿宋_GB2312" w:hAnsi="仿宋_GB2312" w:eastAsia="仿宋_GB2312" w:cs="仿宋_GB2312"/>
          <w:b w:val="0"/>
          <w:bCs/>
          <w:sz w:val="28"/>
          <w:szCs w:val="28"/>
          <w:shd w:val="clear" w:color="auto" w:fill="FFFFFF"/>
          <w:lang w:val="en-US" w:eastAsia="zh-CN"/>
        </w:rPr>
        <w:t>乙方</w:t>
      </w:r>
      <w:r>
        <w:rPr>
          <w:rStyle w:val="17"/>
          <w:rFonts w:hint="eastAsia" w:ascii="仿宋_GB2312" w:hAnsi="仿宋_GB2312" w:eastAsia="仿宋_GB2312" w:cs="仿宋_GB2312"/>
          <w:b w:val="0"/>
          <w:bCs/>
          <w:sz w:val="28"/>
          <w:szCs w:val="28"/>
          <w:shd w:val="clear" w:color="auto" w:fill="FFFFFF"/>
        </w:rPr>
        <w:t>自行承担，结算时不进行调整。合同支付方式包括但不限于银行转账、商业汇票、银行汇票等形式。</w:t>
      </w:r>
    </w:p>
    <w:p w14:paraId="62D1069D">
      <w:pPr>
        <w:pStyle w:val="13"/>
        <w:widowControl/>
        <w:shd w:val="clear" w:color="auto" w:fill="FFFFFF"/>
        <w:spacing w:before="0" w:beforeAutospacing="0" w:after="0" w:afterAutospacing="0" w:line="560" w:lineRule="exact"/>
        <w:ind w:firstLine="560" w:firstLineChars="200"/>
        <w:rPr>
          <w:rStyle w:val="17"/>
          <w:rFonts w:hint="eastAsia" w:ascii="仿宋_GB2312" w:hAnsi="仿宋_GB2312" w:eastAsia="仿宋_GB2312" w:cs="仿宋_GB2312"/>
          <w:b w:val="0"/>
          <w:bCs/>
          <w:sz w:val="28"/>
          <w:szCs w:val="28"/>
          <w:shd w:val="clear" w:color="auto" w:fill="FFFFFF"/>
        </w:rPr>
      </w:pPr>
      <w:r>
        <w:rPr>
          <w:rStyle w:val="17"/>
          <w:rFonts w:hint="eastAsia" w:ascii="仿宋_GB2312" w:hAnsi="仿宋_GB2312" w:eastAsia="仿宋_GB2312" w:cs="仿宋_GB2312"/>
          <w:b w:val="0"/>
          <w:bCs/>
          <w:sz w:val="28"/>
          <w:szCs w:val="28"/>
          <w:shd w:val="clear" w:color="auto" w:fill="FFFFFF"/>
        </w:rPr>
        <w:t>5</w:t>
      </w:r>
      <w:r>
        <w:rPr>
          <w:rStyle w:val="17"/>
          <w:rFonts w:hint="eastAsia" w:ascii="仿宋_GB2312" w:hAnsi="仿宋_GB2312" w:eastAsia="仿宋_GB2312" w:cs="仿宋_GB2312"/>
          <w:b w:val="0"/>
          <w:bCs/>
          <w:sz w:val="28"/>
          <w:szCs w:val="28"/>
          <w:shd w:val="clear" w:color="auto" w:fill="FFFFFF"/>
          <w:lang w:eastAsia="zh-CN"/>
        </w:rPr>
        <w:t>、</w:t>
      </w:r>
      <w:r>
        <w:rPr>
          <w:rStyle w:val="17"/>
          <w:rFonts w:hint="eastAsia" w:ascii="仿宋_GB2312" w:hAnsi="仿宋_GB2312" w:eastAsia="仿宋_GB2312" w:cs="仿宋_GB2312"/>
          <w:b w:val="0"/>
          <w:bCs/>
          <w:sz w:val="28"/>
          <w:szCs w:val="28"/>
          <w:shd w:val="clear" w:color="auto" w:fill="FFFFFF"/>
        </w:rPr>
        <w:t>乙方保证其提供的银行账号真实、合法、有效，甲方向乙方指定的银行账号转入款项后即视为甲方履行完毕付款义务。乙方开户银行、账号等如有变更，应在本合同规定的付款期限前10天，以书面方式通知甲方。如乙方未按合同通知而使甲方遭受损失的，应予以赔偿（包括但不限于向第三方索赔而支付的诉讼费、律师费、财产保全费、调查费、执行费等）。</w:t>
      </w:r>
    </w:p>
    <w:p w14:paraId="1B766D86">
      <w:pPr>
        <w:pStyle w:val="13"/>
        <w:widowControl/>
        <w:shd w:val="clear" w:color="auto" w:fill="FFFFFF"/>
        <w:spacing w:before="0" w:beforeAutospacing="0" w:after="0" w:afterAutospacing="0" w:line="560" w:lineRule="exact"/>
        <w:ind w:firstLine="560" w:firstLineChars="200"/>
        <w:rPr>
          <w:rStyle w:val="17"/>
          <w:rFonts w:hint="eastAsia" w:ascii="仿宋_GB2312" w:hAnsi="仿宋_GB2312" w:eastAsia="仿宋_GB2312" w:cs="仿宋_GB2312"/>
          <w:b w:val="0"/>
          <w:bCs/>
          <w:sz w:val="28"/>
          <w:szCs w:val="28"/>
          <w:shd w:val="clear" w:color="auto" w:fill="FFFFFF"/>
        </w:rPr>
      </w:pPr>
      <w:r>
        <w:rPr>
          <w:rStyle w:val="17"/>
          <w:rFonts w:hint="eastAsia" w:ascii="仿宋_GB2312" w:hAnsi="仿宋_GB2312" w:eastAsia="仿宋_GB2312" w:cs="仿宋_GB2312"/>
          <w:b w:val="0"/>
          <w:bCs/>
          <w:sz w:val="28"/>
          <w:szCs w:val="28"/>
          <w:shd w:val="clear" w:color="auto" w:fill="FFFFFF"/>
        </w:rPr>
        <w:t>6</w:t>
      </w:r>
      <w:r>
        <w:rPr>
          <w:rStyle w:val="17"/>
          <w:rFonts w:hint="eastAsia" w:ascii="仿宋_GB2312" w:hAnsi="仿宋_GB2312" w:eastAsia="仿宋_GB2312" w:cs="仿宋_GB2312"/>
          <w:b w:val="0"/>
          <w:bCs/>
          <w:sz w:val="28"/>
          <w:szCs w:val="28"/>
          <w:shd w:val="clear" w:color="auto" w:fill="FFFFFF"/>
          <w:lang w:eastAsia="zh-CN"/>
        </w:rPr>
        <w:t>、</w:t>
      </w:r>
      <w:r>
        <w:rPr>
          <w:rStyle w:val="17"/>
          <w:rFonts w:hint="eastAsia" w:ascii="仿宋_GB2312" w:hAnsi="仿宋_GB2312" w:eastAsia="仿宋_GB2312" w:cs="仿宋_GB2312"/>
          <w:b w:val="0"/>
          <w:bCs/>
          <w:sz w:val="28"/>
          <w:szCs w:val="28"/>
          <w:shd w:val="clear" w:color="auto" w:fill="FFFFFF"/>
        </w:rPr>
        <w:t>因包括政策法规、疫情等在内的所有不可抗力或本</w:t>
      </w:r>
      <w:r>
        <w:rPr>
          <w:rStyle w:val="17"/>
          <w:rFonts w:hint="eastAsia" w:ascii="仿宋_GB2312" w:hAnsi="仿宋_GB2312" w:eastAsia="仿宋_GB2312" w:cs="仿宋_GB2312"/>
          <w:b w:val="0"/>
          <w:bCs/>
          <w:sz w:val="28"/>
          <w:szCs w:val="28"/>
          <w:shd w:val="clear" w:color="auto" w:fill="FFFFFF"/>
          <w:lang w:val="en-US" w:eastAsia="zh-CN"/>
        </w:rPr>
        <w:t>项目</w:t>
      </w:r>
      <w:r>
        <w:rPr>
          <w:rStyle w:val="17"/>
          <w:rFonts w:hint="eastAsia" w:ascii="仿宋_GB2312" w:hAnsi="仿宋_GB2312" w:eastAsia="仿宋_GB2312" w:cs="仿宋_GB2312"/>
          <w:b w:val="0"/>
          <w:bCs/>
          <w:sz w:val="28"/>
          <w:szCs w:val="28"/>
          <w:shd w:val="clear" w:color="auto" w:fill="FFFFFF"/>
        </w:rPr>
        <w:t>最终没有开发等原因致使合同无法履行，本合同由双方协商解约，双方各自承担己方损失，不得索赔。</w:t>
      </w:r>
    </w:p>
    <w:p w14:paraId="54E58953">
      <w:pPr>
        <w:pStyle w:val="13"/>
        <w:widowControl/>
        <w:shd w:val="clear" w:color="auto" w:fill="FFFFFF"/>
        <w:spacing w:before="0" w:beforeAutospacing="0" w:after="0" w:afterAutospacing="0" w:line="560" w:lineRule="exact"/>
        <w:ind w:firstLine="560" w:firstLineChars="200"/>
        <w:rPr>
          <w:rStyle w:val="17"/>
          <w:rFonts w:hint="eastAsia" w:ascii="仿宋_GB2312" w:hAnsi="仿宋_GB2312" w:eastAsia="仿宋_GB2312" w:cs="仿宋_GB2312"/>
          <w:b w:val="0"/>
          <w:bCs/>
          <w:sz w:val="28"/>
          <w:szCs w:val="28"/>
          <w:shd w:val="clear" w:color="auto" w:fill="FFFFFF"/>
        </w:rPr>
      </w:pPr>
      <w:r>
        <w:rPr>
          <w:rStyle w:val="17"/>
          <w:rFonts w:hint="eastAsia" w:ascii="仿宋_GB2312" w:hAnsi="仿宋_GB2312" w:eastAsia="仿宋_GB2312" w:cs="仿宋_GB2312"/>
          <w:b w:val="0"/>
          <w:bCs/>
          <w:sz w:val="28"/>
          <w:szCs w:val="28"/>
          <w:shd w:val="clear" w:color="auto" w:fill="FFFFFF"/>
        </w:rPr>
        <w:t>7、经乙方确认，乙方银行账户信息如下：</w:t>
      </w:r>
    </w:p>
    <w:p w14:paraId="11F4568C">
      <w:pPr>
        <w:pStyle w:val="13"/>
        <w:widowControl/>
        <w:shd w:val="clear" w:color="auto" w:fill="FFFFFF"/>
        <w:spacing w:before="0" w:beforeAutospacing="0" w:after="0" w:afterAutospacing="0" w:line="560" w:lineRule="exact"/>
        <w:ind w:firstLine="560" w:firstLineChars="200"/>
        <w:rPr>
          <w:rStyle w:val="17"/>
          <w:rFonts w:hint="eastAsia" w:ascii="仿宋_GB2312" w:hAnsi="仿宋_GB2312" w:eastAsia="仿宋_GB2312" w:cs="仿宋_GB2312"/>
          <w:b w:val="0"/>
          <w:bCs/>
          <w:sz w:val="28"/>
          <w:szCs w:val="28"/>
          <w:highlight w:val="none"/>
          <w:shd w:val="clear" w:color="auto" w:fill="FFFFFF"/>
        </w:rPr>
      </w:pPr>
      <w:r>
        <w:rPr>
          <w:rStyle w:val="17"/>
          <w:rFonts w:hint="eastAsia" w:ascii="仿宋_GB2312" w:hAnsi="仿宋_GB2312" w:eastAsia="仿宋_GB2312" w:cs="仿宋_GB2312"/>
          <w:b w:val="0"/>
          <w:bCs/>
          <w:sz w:val="28"/>
          <w:szCs w:val="28"/>
          <w:highlight w:val="none"/>
          <w:shd w:val="clear" w:color="auto" w:fill="FFFFFF"/>
        </w:rPr>
        <w:t>乙方账户：</w:t>
      </w:r>
      <w:r>
        <w:rPr>
          <w:rStyle w:val="17"/>
          <w:rFonts w:hint="eastAsia" w:ascii="仿宋_GB2312" w:hAnsi="仿宋_GB2312" w:eastAsia="仿宋_GB2312" w:cs="仿宋_GB2312"/>
          <w:b w:val="0"/>
          <w:bCs/>
          <w:sz w:val="28"/>
          <w:szCs w:val="28"/>
          <w:highlight w:val="none"/>
          <w:shd w:val="clear" w:color="auto" w:fill="FFFFFF"/>
          <w:lang w:eastAsia="zh-CN"/>
        </w:rPr>
        <w:t>XXX</w:t>
      </w:r>
      <w:r>
        <w:rPr>
          <w:rStyle w:val="17"/>
          <w:rFonts w:hint="eastAsia" w:ascii="仿宋_GB2312" w:hAnsi="仿宋_GB2312" w:eastAsia="仿宋_GB2312" w:cs="仿宋_GB2312"/>
          <w:b w:val="0"/>
          <w:bCs/>
          <w:sz w:val="28"/>
          <w:szCs w:val="28"/>
          <w:highlight w:val="none"/>
          <w:shd w:val="clear" w:color="auto" w:fill="FFFFFF"/>
        </w:rPr>
        <w:t>公司</w:t>
      </w:r>
    </w:p>
    <w:p w14:paraId="69664BB7">
      <w:pPr>
        <w:pStyle w:val="13"/>
        <w:widowControl/>
        <w:shd w:val="clear" w:color="auto" w:fill="FFFFFF"/>
        <w:spacing w:before="0" w:beforeAutospacing="0" w:after="0" w:afterAutospacing="0" w:line="560" w:lineRule="exact"/>
        <w:ind w:firstLine="560" w:firstLineChars="200"/>
        <w:rPr>
          <w:rStyle w:val="17"/>
          <w:rFonts w:hint="default" w:ascii="仿宋_GB2312" w:hAnsi="仿宋_GB2312" w:eastAsia="仿宋_GB2312" w:cs="仿宋_GB2312"/>
          <w:b w:val="0"/>
          <w:bCs/>
          <w:sz w:val="28"/>
          <w:szCs w:val="28"/>
          <w:highlight w:val="none"/>
          <w:shd w:val="clear" w:color="auto" w:fill="FFFFFF"/>
          <w:lang w:val="en-US" w:eastAsia="zh-CN"/>
        </w:rPr>
      </w:pPr>
      <w:r>
        <w:rPr>
          <w:rStyle w:val="17"/>
          <w:rFonts w:hint="eastAsia" w:ascii="仿宋_GB2312" w:hAnsi="仿宋_GB2312" w:eastAsia="仿宋_GB2312" w:cs="仿宋_GB2312"/>
          <w:b w:val="0"/>
          <w:bCs/>
          <w:sz w:val="28"/>
          <w:szCs w:val="28"/>
          <w:highlight w:val="none"/>
          <w:shd w:val="clear" w:color="auto" w:fill="FFFFFF"/>
        </w:rPr>
        <w:t xml:space="preserve">开户银行： </w:t>
      </w:r>
      <w:r>
        <w:rPr>
          <w:rStyle w:val="17"/>
          <w:rFonts w:hint="eastAsia" w:ascii="仿宋_GB2312" w:hAnsi="仿宋_GB2312" w:eastAsia="仿宋_GB2312" w:cs="仿宋_GB2312"/>
          <w:b w:val="0"/>
          <w:bCs/>
          <w:sz w:val="28"/>
          <w:szCs w:val="28"/>
          <w:shd w:val="clear" w:color="auto" w:fill="FFFFFF"/>
          <w:lang w:val="en-US" w:eastAsia="zh-CN"/>
        </w:rPr>
        <w:t xml:space="preserve">      </w:t>
      </w:r>
    </w:p>
    <w:p w14:paraId="249E4CCB">
      <w:pPr>
        <w:pStyle w:val="13"/>
        <w:widowControl/>
        <w:shd w:val="clear" w:color="auto" w:fill="FFFFFF"/>
        <w:spacing w:before="0" w:beforeAutospacing="0" w:after="0" w:afterAutospacing="0" w:line="560" w:lineRule="exact"/>
        <w:ind w:firstLine="560" w:firstLineChars="200"/>
        <w:rPr>
          <w:rStyle w:val="17"/>
          <w:rFonts w:hint="eastAsia" w:ascii="仿宋_GB2312" w:hAnsi="仿宋_GB2312" w:eastAsia="仿宋_GB2312" w:cs="仿宋_GB2312"/>
          <w:b w:val="0"/>
          <w:bCs/>
          <w:sz w:val="28"/>
          <w:szCs w:val="28"/>
          <w:shd w:val="clear" w:color="auto" w:fill="FFFFFF"/>
        </w:rPr>
      </w:pPr>
      <w:r>
        <w:rPr>
          <w:rStyle w:val="17"/>
          <w:rFonts w:hint="eastAsia" w:ascii="仿宋_GB2312" w:hAnsi="仿宋_GB2312" w:eastAsia="仿宋_GB2312" w:cs="仿宋_GB2312"/>
          <w:b w:val="0"/>
          <w:bCs/>
          <w:sz w:val="28"/>
          <w:szCs w:val="28"/>
          <w:highlight w:val="none"/>
          <w:shd w:val="clear" w:color="auto" w:fill="FFFFFF"/>
        </w:rPr>
        <w:t>银行账号：</w:t>
      </w:r>
      <w:r>
        <w:rPr>
          <w:rStyle w:val="17"/>
          <w:rFonts w:hint="eastAsia" w:ascii="仿宋_GB2312" w:hAnsi="仿宋_GB2312" w:eastAsia="仿宋_GB2312" w:cs="仿宋_GB2312"/>
          <w:b w:val="0"/>
          <w:bCs/>
          <w:sz w:val="28"/>
          <w:szCs w:val="28"/>
          <w:shd w:val="clear" w:color="auto" w:fill="FFFFFF"/>
        </w:rPr>
        <w:t xml:space="preserve"> </w:t>
      </w:r>
      <w:r>
        <w:rPr>
          <w:rStyle w:val="17"/>
          <w:rFonts w:hint="eastAsia" w:ascii="仿宋_GB2312" w:hAnsi="仿宋_GB2312" w:eastAsia="仿宋_GB2312" w:cs="仿宋_GB2312"/>
          <w:b w:val="0"/>
          <w:bCs/>
          <w:sz w:val="28"/>
          <w:szCs w:val="28"/>
          <w:shd w:val="clear" w:color="auto" w:fill="FFFFFF"/>
          <w:lang w:val="en-US" w:eastAsia="zh-CN"/>
        </w:rPr>
        <w:t xml:space="preserve">    </w:t>
      </w:r>
      <w:r>
        <w:rPr>
          <w:rStyle w:val="17"/>
          <w:rFonts w:hint="eastAsia" w:ascii="仿宋_GB2312" w:hAnsi="仿宋_GB2312" w:eastAsia="仿宋_GB2312" w:cs="仿宋_GB2312"/>
          <w:b w:val="0"/>
          <w:bCs/>
          <w:sz w:val="28"/>
          <w:szCs w:val="28"/>
          <w:shd w:val="clear" w:color="auto" w:fill="FFFFFF"/>
        </w:rPr>
        <w:t xml:space="preserve"> </w:t>
      </w:r>
    </w:p>
    <w:p w14:paraId="534D9B4E">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第十五条  争议解决办法</w:t>
      </w:r>
    </w:p>
    <w:p w14:paraId="49B6E433">
      <w:pPr>
        <w:tabs>
          <w:tab w:val="left" w:pos="540"/>
        </w:tabs>
        <w:spacing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因履行本合同引起的或与本合同有关的争议，甲、乙双方应首先通过友好协商解决，如果协商不能解决争议，则向甲方所在地有管辖权的人民法院提起诉讼。</w:t>
      </w:r>
    </w:p>
    <w:p w14:paraId="6465F376">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第十六条  违约责任</w:t>
      </w:r>
    </w:p>
    <w:p w14:paraId="659DDF3A">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１、乙方应完全地按照招标文件的要求和乙方投标文件的承诺完成本项目，出于乙方自身财务、技术、人力等原因导致项目失败的，应承担全部责任。</w:t>
      </w:r>
    </w:p>
    <w:p w14:paraId="4F44A6C4">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2、乙方在本项目服务过程中应对乙方员工的安全负责，若由乙方原因发生的各种事故，均由乙方自行处理并承担责任，甲方不承担任何责任。</w:t>
      </w:r>
    </w:p>
    <w:p w14:paraId="2E1E2A11">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甲方在签订本合同后擅自解除或终止合同的，乙方已开展工作的，甲方按经甲方审定的乙方已实际完成的工作量支付相应的费用，乙方应将已完成的阶段成果移交给甲方。乙方未开展服务工作的，甲方无须向乙方支付任何费用。</w:t>
      </w:r>
    </w:p>
    <w:p w14:paraId="6E42D699">
      <w:pPr>
        <w:pStyle w:val="2"/>
        <w:spacing w:line="560" w:lineRule="exac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    4、乙方不得随意更换项目管理人员，更换项目负责人罚款3万元/人，更换项目其他管理人员罚款3000元/人，同时失去参与甲方及关联单位下一次招标时的投标资格。</w:t>
      </w:r>
    </w:p>
    <w:p w14:paraId="7BC3ACAC">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乙方在签订本合同后擅自解除或终止合同的，甲方无须支付乙方已完成的工作量的费用，乙方应当退还甲方已支付的全部服务费用，并向甲方支付本项目暂定合同价的10%作为违约金，并赔偿甲方因此遭受的一切损失。甲方有权将其未完成部分另行委托他人，乙方不得有任何异议。</w:t>
      </w:r>
    </w:p>
    <w:p w14:paraId="7FF8789C">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乙方擅自全部或部分转让本合同项下之义务或允许他人借用自己的名义从事本合同项下工作内容的，甲方有权解除本合同，要求乙方按本项目暂定合同价10％的标准支付违约金，并有权要求乙方赔偿甲方因此而造成的损失。</w:t>
      </w:r>
    </w:p>
    <w:p w14:paraId="075264C2">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若乙方及乙方工作人员违反有关法律法规和合同约定，或不信守职业道德，或存在不恰当和腐败行为，并且造成严重后果的，甲方有权解除本合同，乙方应退还甲方已支付的全部服务费用，且甲方有权要求乙方按本项目暂定合同价10％的标准支付违约金，并承担由此而引起的法律责任，同时赔偿由此造成的甲方经济损失。</w:t>
      </w:r>
    </w:p>
    <w:p w14:paraId="14CD1F1A">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非甲方提供错误资料等原因，乙方出具的评估报告被鉴定为不合法、不规范，乙方应负责无偿采取补救措施，直至达到符合本协议约定的验收标准，存在逾期情形的按照本条第9款执行。乙方不配合修改达三次及以上或乙方修改提交两次报告仍不符合本协议约定的，甲方有权终止本合同，并要求乙方退还已支付费用，并承担合同价款10%的违约金。</w:t>
      </w:r>
    </w:p>
    <w:p w14:paraId="2F9FF2CC">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非甲方原因，乙方未能按合同约定或甲方要求的时限提交评估督导审核报告，乙方应向甲方支付违约金，违约金按本项目合同签订价价千分之一（1‰）每日累计，逾期累计达【15】日的，甲方有权单方解除合同。</w:t>
      </w:r>
    </w:p>
    <w:p w14:paraId="403EECDC">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10、乙方未按照本合同约定履行保密义务的，甲方有权要求乙方按本项目合同总额的20％支付违约金，违约金不足以赔偿甲方全部损失的，乙方应当另行赔偿。</w:t>
      </w:r>
    </w:p>
    <w:p w14:paraId="694E56B2">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乙方应支付甲方的费用，甲方有权在应支付乙方的款项中直接扣除。若无可直接扣除的款项，则乙方应在收到甲方的付款通知后10日内支付，否则因甲方维权所产生的费用均由乙方承担，包括但不限于律师费、财产保全费、调查费、执行费等。</w:t>
      </w:r>
    </w:p>
    <w:p w14:paraId="73C2DA02">
      <w:pPr>
        <w:spacing w:line="560" w:lineRule="exact"/>
        <w:ind w:firstLine="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第十七条   不可抗力</w:t>
      </w:r>
    </w:p>
    <w:p w14:paraId="698568A5">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1、本合同所称不可抗力是指发生甲、乙双方不能预见、不能避免并不能克服的自然灾害和社会突发事件，包括地震、水灾、海啸、战争、恐怖活动、动乱、瘟疫等。</w:t>
      </w:r>
      <w:r>
        <w:rPr>
          <w:rFonts w:hint="eastAsia" w:ascii="仿宋_GB2312" w:hAnsi="仿宋_GB2312" w:eastAsia="仿宋_GB2312" w:cs="仿宋_GB2312"/>
          <w:sz w:val="28"/>
          <w:szCs w:val="28"/>
        </w:rPr>
        <w:cr/>
      </w:r>
      <w:r>
        <w:rPr>
          <w:rFonts w:hint="eastAsia" w:ascii="仿宋_GB2312" w:hAnsi="仿宋_GB2312" w:eastAsia="仿宋_GB2312" w:cs="仿宋_GB2312"/>
          <w:sz w:val="28"/>
          <w:szCs w:val="28"/>
        </w:rPr>
        <w:t xml:space="preserve">    2、任何一方因不可抗力致使本合同义务的履行受到妨碍时，当事者必须在不可抗力发生后5天以内，将不可抗力的发生及状况书面通知对方。</w:t>
      </w:r>
    </w:p>
    <w:p w14:paraId="725CC72F">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3、因不可抗力致使一方不能履行或不能完全履行本合同义务时，允许延期履行、部分履行或不履行合同，并根据实际情况可部分或全部免除违约责任。</w:t>
      </w:r>
    </w:p>
    <w:p w14:paraId="300DE99E">
      <w:pPr>
        <w:spacing w:line="560" w:lineRule="exact"/>
        <w:ind w:firstLine="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第十八条   送达</w:t>
      </w:r>
    </w:p>
    <w:p w14:paraId="584E964A">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1、甲乙双方一致确认本合同中记载的双方通讯地址和联系方式为双方履行合同、解决合同争议时向接收对方商业文件信函或司法机关（法院、仲裁机构）诉讼、仲裁文书的地址和联系方式。</w:t>
      </w:r>
    </w:p>
    <w:p w14:paraId="1D666302">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2、任何一方通讯地址和联系方式需要变更的，应提前五个工作日向对方和司法机关送交书面变更告知书（若争议已经进入司法程序解决）。</w:t>
      </w:r>
    </w:p>
    <w:p w14:paraId="408C5A62">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3、上述确认的通讯地址和联系方式真实有效，如有错误，导致的商业信函或诉讼、仲裁文书送达不能的法律后果由自身承担。</w:t>
      </w:r>
    </w:p>
    <w:p w14:paraId="50C05ACF">
      <w:pPr>
        <w:spacing w:line="56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4、因一方提供或者确认的送达地址和联系方式不准确、或者送达地址变更后未及时依程序告知对方和司法机关、或者当事人和指定接收人拒绝签收等原因，导致诉讼、仲裁文书未能被当事人实际接收，邮寄送达的，以文书退回之日视为送达之日；直接送达的，送达人当场在送达回证上记明情况之日视为送达之日。</w:t>
      </w:r>
    </w:p>
    <w:p w14:paraId="3414CA26">
      <w:pPr>
        <w:spacing w:line="560" w:lineRule="exact"/>
        <w:ind w:firstLine="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第十九条 合同的变更和终止</w:t>
      </w:r>
    </w:p>
    <w:p w14:paraId="4A101A4A">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除本合同继续履行将损害国家利益和社会利益或者本合同有约定外，双方当事人不得擅自变更、中止或者终止合同。</w:t>
      </w:r>
    </w:p>
    <w:p w14:paraId="051E8949">
      <w:pPr>
        <w:spacing w:line="560" w:lineRule="exact"/>
        <w:ind w:firstLine="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第二十条 其他</w:t>
      </w:r>
    </w:p>
    <w:p w14:paraId="48546B5F">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1、下列文件均为本合同的重要组成部分：</w:t>
      </w:r>
    </w:p>
    <w:p w14:paraId="487EC66D">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（1）本项目的招标文件、答疑及补充通知；</w:t>
      </w:r>
    </w:p>
    <w:p w14:paraId="3525CFB4">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（2）本项目中标的投标文件；</w:t>
      </w:r>
    </w:p>
    <w:p w14:paraId="31DB6F98">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（3）本合同执行中共同签署的补充与修正文件。</w:t>
      </w:r>
    </w:p>
    <w:p w14:paraId="2EFCEB25">
      <w:pPr>
        <w:pStyle w:val="2"/>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val="0"/>
          <w:bCs w:val="0"/>
          <w:sz w:val="28"/>
          <w:szCs w:val="28"/>
        </w:rPr>
        <w:t>以上文件互为补充，如果出现内容冲突的情况，为准的优先顺序为（3）、（2）、（1）。</w:t>
      </w:r>
    </w:p>
    <w:p w14:paraId="1CE90C25">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2、本合同壹式</w:t>
      </w:r>
      <w:r>
        <w:rPr>
          <w:rFonts w:hint="eastAsia" w:ascii="仿宋_GB2312" w:hAnsi="仿宋_GB2312" w:eastAsia="仿宋_GB2312" w:cs="仿宋_GB2312"/>
          <w:sz w:val="28"/>
          <w:szCs w:val="28"/>
          <w:u w:val="single"/>
        </w:rPr>
        <w:t xml:space="preserve"> 拾 </w:t>
      </w:r>
      <w:r>
        <w:rPr>
          <w:rFonts w:hint="eastAsia" w:ascii="仿宋_GB2312" w:hAnsi="仿宋_GB2312" w:eastAsia="仿宋_GB2312" w:cs="仿宋_GB2312"/>
          <w:sz w:val="28"/>
          <w:szCs w:val="28"/>
        </w:rPr>
        <w:t xml:space="preserve">份，甲方执 </w:t>
      </w:r>
      <w:r>
        <w:rPr>
          <w:rFonts w:hint="eastAsia" w:ascii="仿宋_GB2312" w:hAnsi="仿宋_GB2312" w:eastAsia="仿宋_GB2312" w:cs="仿宋_GB2312"/>
          <w:sz w:val="28"/>
          <w:szCs w:val="28"/>
          <w:u w:val="single"/>
        </w:rPr>
        <w:t xml:space="preserve"> 陆 </w:t>
      </w:r>
      <w:r>
        <w:rPr>
          <w:rFonts w:hint="eastAsia" w:ascii="仿宋_GB2312" w:hAnsi="仿宋_GB2312" w:eastAsia="仿宋_GB2312" w:cs="仿宋_GB2312"/>
          <w:sz w:val="28"/>
          <w:szCs w:val="28"/>
        </w:rPr>
        <w:t>份、乙方执</w:t>
      </w:r>
      <w:r>
        <w:rPr>
          <w:rFonts w:hint="eastAsia" w:ascii="仿宋_GB2312" w:hAnsi="仿宋_GB2312" w:eastAsia="仿宋_GB2312" w:cs="仿宋_GB2312"/>
          <w:sz w:val="28"/>
          <w:szCs w:val="28"/>
          <w:u w:val="single"/>
        </w:rPr>
        <w:t xml:space="preserve"> 肆 </w:t>
      </w:r>
      <w:r>
        <w:rPr>
          <w:rFonts w:hint="eastAsia" w:ascii="仿宋_GB2312" w:hAnsi="仿宋_GB2312" w:eastAsia="仿宋_GB2312" w:cs="仿宋_GB2312"/>
          <w:sz w:val="28"/>
          <w:szCs w:val="28"/>
        </w:rPr>
        <w:t>份，具有同等法律效力。本合同自双方法定代表人或授权代表签字并加盖公章之日起生效。</w:t>
      </w:r>
    </w:p>
    <w:p w14:paraId="3CBE96AE">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3、本合同未尽事宜，双方友好协商，达成解决方案，经合同双方法定代表人或授权代表签字并盖章后，可作为本合同的有效附件。</w:t>
      </w:r>
    </w:p>
    <w:p w14:paraId="0B27D047">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4、附件</w:t>
      </w:r>
    </w:p>
    <w:p w14:paraId="498F27E9">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（1）《乙方工作人员一览表》</w:t>
      </w:r>
    </w:p>
    <w:p w14:paraId="538E6E76">
      <w:pPr>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（2）《乙方设备配置情况》</w:t>
      </w:r>
    </w:p>
    <w:p w14:paraId="1176B090">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（以下无正文，为签章页）</w:t>
      </w:r>
    </w:p>
    <w:p w14:paraId="54FDD062">
      <w:pPr>
        <w:pStyle w:val="2"/>
        <w:rPr>
          <w:rFonts w:hint="eastAsia" w:ascii="仿宋_GB2312" w:hAnsi="仿宋_GB2312" w:eastAsia="仿宋_GB2312" w:cs="仿宋_GB2312"/>
          <w:sz w:val="28"/>
          <w:szCs w:val="28"/>
        </w:rPr>
      </w:pPr>
    </w:p>
    <w:p w14:paraId="77F6BAEE">
      <w:pPr>
        <w:rPr>
          <w:rFonts w:hint="eastAsia" w:ascii="仿宋_GB2312" w:hAnsi="仿宋_GB2312" w:eastAsia="仿宋_GB2312" w:cs="仿宋_GB2312"/>
          <w:sz w:val="32"/>
          <w:szCs w:val="32"/>
        </w:rPr>
      </w:pPr>
    </w:p>
    <w:p w14:paraId="38A1D8FF">
      <w:pPr>
        <w:pStyle w:val="2"/>
        <w:rPr>
          <w:rFonts w:hint="eastAsia" w:ascii="仿宋_GB2312" w:hAnsi="仿宋_GB2312" w:eastAsia="仿宋_GB2312" w:cs="仿宋_GB2312"/>
          <w:sz w:val="32"/>
          <w:szCs w:val="32"/>
        </w:rPr>
      </w:pPr>
    </w:p>
    <w:p w14:paraId="584CC47D">
      <w:pPr>
        <w:rPr>
          <w:rFonts w:hint="eastAsia" w:ascii="仿宋_GB2312" w:hAnsi="仿宋_GB2312" w:eastAsia="仿宋_GB2312" w:cs="仿宋_GB2312"/>
          <w:sz w:val="32"/>
          <w:szCs w:val="32"/>
        </w:rPr>
      </w:pPr>
    </w:p>
    <w:p w14:paraId="254C7A07">
      <w:pPr>
        <w:pStyle w:val="2"/>
        <w:rPr>
          <w:rFonts w:hint="eastAsia" w:ascii="仿宋_GB2312" w:hAnsi="仿宋_GB2312" w:eastAsia="仿宋_GB2312" w:cs="仿宋_GB2312"/>
          <w:sz w:val="32"/>
          <w:szCs w:val="32"/>
        </w:rPr>
      </w:pPr>
    </w:p>
    <w:p w14:paraId="16F86CD7">
      <w:pPr>
        <w:rPr>
          <w:rFonts w:hint="eastAsia"/>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1"/>
        <w:gridCol w:w="4531"/>
      </w:tblGrid>
      <w:tr w14:paraId="2DA2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531" w:type="dxa"/>
            <w:tcBorders>
              <w:top w:val="nil"/>
              <w:left w:val="nil"/>
              <w:bottom w:val="nil"/>
              <w:right w:val="nil"/>
            </w:tcBorders>
            <w:shd w:val="clear" w:color="auto" w:fill="auto"/>
            <w:vAlign w:val="center"/>
          </w:tcPr>
          <w:p w14:paraId="211E3292">
            <w:pPr>
              <w:pStyle w:val="2"/>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甲方：深圳市新龙观投资发展有限公司（签章）</w:t>
            </w:r>
          </w:p>
        </w:tc>
        <w:tc>
          <w:tcPr>
            <w:tcW w:w="4531" w:type="dxa"/>
            <w:tcBorders>
              <w:top w:val="nil"/>
              <w:left w:val="nil"/>
              <w:bottom w:val="nil"/>
              <w:right w:val="nil"/>
            </w:tcBorders>
            <w:shd w:val="clear" w:color="auto" w:fill="auto"/>
            <w:vAlign w:val="center"/>
          </w:tcPr>
          <w:p w14:paraId="45E36AF9">
            <w:pPr>
              <w:pStyle w:val="2"/>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乙方：</w:t>
            </w:r>
            <w:r>
              <w:rPr>
                <w:rFonts w:hint="eastAsia" w:ascii="仿宋_GB2312" w:hAnsi="仿宋_GB2312" w:eastAsia="仿宋_GB2312" w:cs="仿宋_GB2312"/>
                <w:b w:val="0"/>
                <w:bCs w:val="0"/>
                <w:sz w:val="28"/>
                <w:szCs w:val="28"/>
                <w:lang w:eastAsia="zh-CN"/>
              </w:rPr>
              <w:t>XXX</w:t>
            </w:r>
            <w:r>
              <w:rPr>
                <w:rFonts w:hint="eastAsia" w:ascii="仿宋_GB2312" w:hAnsi="仿宋_GB2312" w:eastAsia="仿宋_GB2312" w:cs="仿宋_GB2312"/>
                <w:b w:val="0"/>
                <w:bCs w:val="0"/>
                <w:sz w:val="28"/>
                <w:szCs w:val="28"/>
              </w:rPr>
              <w:t>公司（签章）</w:t>
            </w:r>
          </w:p>
        </w:tc>
      </w:tr>
      <w:tr w14:paraId="1C8F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1" w:type="dxa"/>
            <w:tcBorders>
              <w:top w:val="nil"/>
              <w:left w:val="nil"/>
              <w:bottom w:val="nil"/>
              <w:right w:val="nil"/>
            </w:tcBorders>
            <w:shd w:val="clear" w:color="auto" w:fill="auto"/>
            <w:vAlign w:val="center"/>
          </w:tcPr>
          <w:p w14:paraId="2DA7F291">
            <w:pPr>
              <w:pStyle w:val="2"/>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地址：深圳市龙华区观湖街道鹭湖社区观盛三路10号龙馨家园A栋2101</w:t>
            </w:r>
          </w:p>
        </w:tc>
        <w:tc>
          <w:tcPr>
            <w:tcW w:w="4531" w:type="dxa"/>
            <w:tcBorders>
              <w:top w:val="nil"/>
              <w:left w:val="nil"/>
              <w:bottom w:val="nil"/>
              <w:right w:val="nil"/>
            </w:tcBorders>
            <w:shd w:val="clear" w:color="auto" w:fill="auto"/>
            <w:vAlign w:val="center"/>
          </w:tcPr>
          <w:p w14:paraId="11782B1C">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tc>
      </w:tr>
      <w:tr w14:paraId="2415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1" w:type="dxa"/>
            <w:tcBorders>
              <w:top w:val="nil"/>
              <w:left w:val="nil"/>
              <w:bottom w:val="nil"/>
              <w:right w:val="nil"/>
            </w:tcBorders>
            <w:shd w:val="clear" w:color="auto" w:fill="auto"/>
            <w:vAlign w:val="center"/>
          </w:tcPr>
          <w:p w14:paraId="7862F230">
            <w:pPr>
              <w:pStyle w:val="2"/>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法定代表人：（签章）</w:t>
            </w:r>
          </w:p>
        </w:tc>
        <w:tc>
          <w:tcPr>
            <w:tcW w:w="4531" w:type="dxa"/>
            <w:tcBorders>
              <w:top w:val="nil"/>
              <w:left w:val="nil"/>
              <w:bottom w:val="nil"/>
              <w:right w:val="nil"/>
            </w:tcBorders>
            <w:shd w:val="clear" w:color="auto" w:fill="auto"/>
            <w:vAlign w:val="center"/>
          </w:tcPr>
          <w:p w14:paraId="7D177C48">
            <w:pPr>
              <w:pStyle w:val="2"/>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法定代表人：（签章）</w:t>
            </w:r>
          </w:p>
        </w:tc>
      </w:tr>
      <w:tr w14:paraId="4449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1" w:type="dxa"/>
            <w:tcBorders>
              <w:top w:val="nil"/>
              <w:left w:val="nil"/>
              <w:bottom w:val="nil"/>
              <w:right w:val="nil"/>
            </w:tcBorders>
            <w:shd w:val="clear" w:color="auto" w:fill="auto"/>
            <w:vAlign w:val="center"/>
          </w:tcPr>
          <w:p w14:paraId="7D0DCB04">
            <w:pPr>
              <w:pStyle w:val="2"/>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开户行：</w:t>
            </w:r>
          </w:p>
        </w:tc>
        <w:tc>
          <w:tcPr>
            <w:tcW w:w="4531" w:type="dxa"/>
            <w:tcBorders>
              <w:top w:val="nil"/>
              <w:left w:val="nil"/>
              <w:bottom w:val="nil"/>
              <w:right w:val="nil"/>
            </w:tcBorders>
            <w:shd w:val="clear" w:color="auto" w:fill="auto"/>
            <w:vAlign w:val="center"/>
          </w:tcPr>
          <w:p w14:paraId="187B868A">
            <w:pPr>
              <w:pStyle w:val="2"/>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开户行：</w:t>
            </w:r>
          </w:p>
        </w:tc>
      </w:tr>
      <w:tr w14:paraId="5542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1" w:type="dxa"/>
            <w:tcBorders>
              <w:top w:val="nil"/>
              <w:left w:val="nil"/>
              <w:bottom w:val="nil"/>
              <w:right w:val="nil"/>
            </w:tcBorders>
            <w:shd w:val="clear" w:color="auto" w:fill="auto"/>
            <w:vAlign w:val="center"/>
          </w:tcPr>
          <w:p w14:paraId="54DE5C85">
            <w:pPr>
              <w:pStyle w:val="2"/>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银行账号：</w:t>
            </w:r>
          </w:p>
        </w:tc>
        <w:tc>
          <w:tcPr>
            <w:tcW w:w="4531" w:type="dxa"/>
            <w:tcBorders>
              <w:top w:val="nil"/>
              <w:left w:val="nil"/>
              <w:bottom w:val="nil"/>
              <w:right w:val="nil"/>
            </w:tcBorders>
            <w:shd w:val="clear" w:color="auto" w:fill="auto"/>
            <w:vAlign w:val="center"/>
          </w:tcPr>
          <w:p w14:paraId="4EF0BF90">
            <w:pPr>
              <w:pStyle w:val="2"/>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银行账号：</w:t>
            </w:r>
          </w:p>
        </w:tc>
      </w:tr>
      <w:tr w14:paraId="6A70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1" w:type="dxa"/>
            <w:tcBorders>
              <w:top w:val="nil"/>
              <w:left w:val="nil"/>
              <w:bottom w:val="nil"/>
              <w:right w:val="nil"/>
            </w:tcBorders>
            <w:shd w:val="clear" w:color="auto" w:fill="auto"/>
            <w:vAlign w:val="center"/>
          </w:tcPr>
          <w:p w14:paraId="091C252D">
            <w:pPr>
              <w:pStyle w:val="2"/>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联系人：</w:t>
            </w:r>
            <w:r>
              <w:rPr>
                <w:rFonts w:hint="eastAsia" w:ascii="仿宋_GB2312" w:hAnsi="仿宋_GB2312" w:eastAsia="仿宋_GB2312" w:cs="仿宋_GB2312"/>
                <w:b w:val="0"/>
                <w:bCs w:val="0"/>
                <w:sz w:val="28"/>
                <w:szCs w:val="28"/>
                <w:lang w:eastAsia="zh-CN"/>
              </w:rPr>
              <w:t>高工</w:t>
            </w:r>
            <w:r>
              <w:rPr>
                <w:rFonts w:hint="eastAsia" w:ascii="仿宋_GB2312" w:hAnsi="仿宋_GB2312" w:eastAsia="仿宋_GB2312" w:cs="仿宋_GB2312"/>
                <w:b w:val="0"/>
                <w:bCs w:val="0"/>
                <w:sz w:val="28"/>
                <w:szCs w:val="28"/>
              </w:rPr>
              <w:t xml:space="preserve"> </w:t>
            </w:r>
          </w:p>
        </w:tc>
        <w:tc>
          <w:tcPr>
            <w:tcW w:w="4531" w:type="dxa"/>
            <w:tcBorders>
              <w:top w:val="nil"/>
              <w:left w:val="nil"/>
              <w:bottom w:val="nil"/>
              <w:right w:val="nil"/>
            </w:tcBorders>
            <w:shd w:val="clear" w:color="auto" w:fill="auto"/>
            <w:vAlign w:val="center"/>
          </w:tcPr>
          <w:p w14:paraId="27AE62EA">
            <w:pPr>
              <w:pStyle w:val="2"/>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联系人： </w:t>
            </w:r>
          </w:p>
        </w:tc>
      </w:tr>
      <w:tr w14:paraId="2245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1" w:type="dxa"/>
            <w:tcBorders>
              <w:top w:val="nil"/>
              <w:left w:val="nil"/>
              <w:bottom w:val="nil"/>
              <w:right w:val="nil"/>
            </w:tcBorders>
            <w:shd w:val="clear" w:color="auto" w:fill="auto"/>
            <w:vAlign w:val="center"/>
          </w:tcPr>
          <w:p w14:paraId="748795F0">
            <w:pPr>
              <w:pStyle w:val="2"/>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电话：0755-29809916</w:t>
            </w:r>
          </w:p>
        </w:tc>
        <w:tc>
          <w:tcPr>
            <w:tcW w:w="4531" w:type="dxa"/>
            <w:tcBorders>
              <w:top w:val="nil"/>
              <w:left w:val="nil"/>
              <w:bottom w:val="nil"/>
              <w:right w:val="nil"/>
            </w:tcBorders>
            <w:shd w:val="clear" w:color="auto" w:fill="auto"/>
            <w:vAlign w:val="center"/>
          </w:tcPr>
          <w:p w14:paraId="5A9829D5">
            <w:pPr>
              <w:pStyle w:val="2"/>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电话：</w:t>
            </w:r>
          </w:p>
        </w:tc>
      </w:tr>
      <w:tr w14:paraId="1547E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1" w:type="dxa"/>
            <w:tcBorders>
              <w:top w:val="nil"/>
              <w:left w:val="nil"/>
              <w:bottom w:val="nil"/>
              <w:right w:val="nil"/>
            </w:tcBorders>
            <w:shd w:val="clear" w:color="auto" w:fill="auto"/>
            <w:vAlign w:val="center"/>
          </w:tcPr>
          <w:p w14:paraId="32E54017">
            <w:pPr>
              <w:pStyle w:val="2"/>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日期：</w:t>
            </w:r>
            <w:r>
              <w:rPr>
                <w:rFonts w:hint="eastAsia" w:ascii="仿宋_GB2312" w:hAnsi="仿宋_GB2312" w:eastAsia="仿宋_GB2312" w:cs="仿宋_GB2312"/>
                <w:b w:val="0"/>
                <w:bCs w:val="0"/>
                <w:sz w:val="28"/>
                <w:szCs w:val="28"/>
                <w:lang w:eastAsia="zh-CN"/>
              </w:rPr>
              <w:t>2025</w:t>
            </w:r>
            <w:r>
              <w:rPr>
                <w:rFonts w:hint="eastAsia" w:ascii="仿宋_GB2312" w:hAnsi="仿宋_GB2312" w:eastAsia="仿宋_GB2312" w:cs="仿宋_GB2312"/>
                <w:b w:val="0"/>
                <w:bCs w:val="0"/>
                <w:sz w:val="28"/>
                <w:szCs w:val="28"/>
              </w:rPr>
              <w:t>年4月    日</w:t>
            </w:r>
          </w:p>
        </w:tc>
        <w:tc>
          <w:tcPr>
            <w:tcW w:w="4531" w:type="dxa"/>
            <w:tcBorders>
              <w:top w:val="nil"/>
              <w:left w:val="nil"/>
              <w:bottom w:val="nil"/>
              <w:right w:val="nil"/>
            </w:tcBorders>
            <w:shd w:val="clear" w:color="auto" w:fill="auto"/>
            <w:vAlign w:val="center"/>
          </w:tcPr>
          <w:p w14:paraId="3FCD4FD7">
            <w:pPr>
              <w:pStyle w:val="2"/>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日期：</w:t>
            </w:r>
            <w:r>
              <w:rPr>
                <w:rFonts w:hint="eastAsia" w:ascii="仿宋_GB2312" w:hAnsi="仿宋_GB2312" w:eastAsia="仿宋_GB2312" w:cs="仿宋_GB2312"/>
                <w:b w:val="0"/>
                <w:bCs w:val="0"/>
                <w:sz w:val="28"/>
                <w:szCs w:val="28"/>
                <w:lang w:eastAsia="zh-CN"/>
              </w:rPr>
              <w:t>2025</w:t>
            </w:r>
            <w:r>
              <w:rPr>
                <w:rFonts w:hint="eastAsia" w:ascii="仿宋_GB2312" w:hAnsi="仿宋_GB2312" w:eastAsia="仿宋_GB2312" w:cs="仿宋_GB2312"/>
                <w:b w:val="0"/>
                <w:bCs w:val="0"/>
                <w:sz w:val="28"/>
                <w:szCs w:val="28"/>
              </w:rPr>
              <w:t>年4月    日</w:t>
            </w:r>
          </w:p>
        </w:tc>
      </w:tr>
    </w:tbl>
    <w:p w14:paraId="10639285">
      <w:pPr>
        <w:pStyle w:val="2"/>
        <w:rPr>
          <w:rFonts w:hint="eastAsia"/>
        </w:rPr>
      </w:pPr>
    </w:p>
    <w:p w14:paraId="5E67A798">
      <w:pPr>
        <w:rPr>
          <w:rFonts w:hint="eastAsia"/>
        </w:rPr>
      </w:pPr>
    </w:p>
    <w:p w14:paraId="4E67C937">
      <w:pPr>
        <w:pStyle w:val="2"/>
        <w:rPr>
          <w:rFonts w:hint="eastAsia"/>
        </w:rPr>
      </w:pPr>
    </w:p>
    <w:p w14:paraId="6FDF828E">
      <w:pPr>
        <w:rPr>
          <w:rFonts w:hint="eastAsia"/>
        </w:rPr>
      </w:pPr>
    </w:p>
    <w:p w14:paraId="703745C3">
      <w:pPr>
        <w:spacing w:line="560" w:lineRule="exact"/>
        <w:ind w:firstLine="640" w:firstLineChars="200"/>
        <w:rPr>
          <w:rFonts w:hint="eastAsia" w:ascii="仿宋_GB2312" w:hAnsi="仿宋_GB2312" w:eastAsia="仿宋_GB2312" w:cs="仿宋_GB2312"/>
          <w:sz w:val="32"/>
          <w:szCs w:val="32"/>
        </w:rPr>
      </w:pPr>
    </w:p>
    <w:p w14:paraId="0854830A">
      <w:pPr>
        <w:rPr>
          <w:rFonts w:hint="eastAsia"/>
        </w:rPr>
      </w:pPr>
    </w:p>
    <w:p w14:paraId="39473388">
      <w:pPr>
        <w:pStyle w:val="2"/>
        <w:rPr>
          <w:rFonts w:hint="eastAsia"/>
        </w:rPr>
      </w:pPr>
    </w:p>
    <w:p w14:paraId="20F28DAD">
      <w:pPr>
        <w:rPr>
          <w:rFonts w:hint="eastAsia"/>
        </w:rPr>
      </w:pPr>
    </w:p>
    <w:p w14:paraId="70ECCA21">
      <w:pPr>
        <w:pStyle w:val="2"/>
        <w:rPr>
          <w:rFonts w:hint="eastAsia"/>
        </w:rPr>
      </w:pPr>
    </w:p>
    <w:p w14:paraId="281546A4">
      <w:pPr>
        <w:rPr>
          <w:rFonts w:hint="eastAsia"/>
        </w:rPr>
      </w:pPr>
    </w:p>
    <w:p w14:paraId="0927564A">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306956CA">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349A74E4">
      <w:pPr>
        <w:rPr>
          <w:rFonts w:hint="eastAsia"/>
        </w:rPr>
      </w:pPr>
      <w:r>
        <w:rPr>
          <w:rFonts w:hint="eastAsia" w:ascii="仿宋_GB2312" w:hAnsi="仿宋_GB2312" w:eastAsia="仿宋_GB2312" w:cs="仿宋_GB2312"/>
          <w:sz w:val="28"/>
          <w:szCs w:val="28"/>
        </w:rPr>
        <w:t>附件1：《乙方工作人员一览表》</w:t>
      </w:r>
    </w:p>
    <w:p w14:paraId="13437506">
      <w:pPr>
        <w:rPr>
          <w:rFonts w:hint="eastAsia"/>
        </w:rPr>
      </w:pPr>
    </w:p>
    <w:tbl>
      <w:tblPr>
        <w:tblStyle w:val="14"/>
        <w:tblW w:w="5304"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325"/>
        <w:gridCol w:w="1212"/>
        <w:gridCol w:w="1766"/>
        <w:gridCol w:w="2188"/>
        <w:gridCol w:w="1664"/>
        <w:gridCol w:w="739"/>
      </w:tblGrid>
      <w:tr w14:paraId="784AFA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374" w:type="pct"/>
            <w:noWrap/>
            <w:vAlign w:val="center"/>
          </w:tcPr>
          <w:p w14:paraId="0E14B905">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序号</w:t>
            </w:r>
          </w:p>
        </w:tc>
        <w:tc>
          <w:tcPr>
            <w:tcW w:w="689" w:type="pct"/>
            <w:vAlign w:val="center"/>
          </w:tcPr>
          <w:p w14:paraId="0A33037A">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项目名称</w:t>
            </w:r>
          </w:p>
        </w:tc>
        <w:tc>
          <w:tcPr>
            <w:tcW w:w="630" w:type="pct"/>
            <w:noWrap/>
            <w:vAlign w:val="center"/>
          </w:tcPr>
          <w:p w14:paraId="11D28FBB">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人员安排</w:t>
            </w:r>
          </w:p>
        </w:tc>
        <w:tc>
          <w:tcPr>
            <w:tcW w:w="918" w:type="pct"/>
            <w:noWrap/>
            <w:vAlign w:val="center"/>
          </w:tcPr>
          <w:p w14:paraId="3E76A383">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本项目职务</w:t>
            </w:r>
          </w:p>
        </w:tc>
        <w:tc>
          <w:tcPr>
            <w:tcW w:w="1137" w:type="pct"/>
            <w:vAlign w:val="center"/>
          </w:tcPr>
          <w:p w14:paraId="31D6183E">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执业资格</w:t>
            </w:r>
          </w:p>
        </w:tc>
        <w:tc>
          <w:tcPr>
            <w:tcW w:w="865" w:type="pct"/>
            <w:vAlign w:val="center"/>
          </w:tcPr>
          <w:p w14:paraId="50C6198B">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资格证书编号</w:t>
            </w:r>
          </w:p>
        </w:tc>
        <w:tc>
          <w:tcPr>
            <w:tcW w:w="384" w:type="pct"/>
            <w:vAlign w:val="center"/>
          </w:tcPr>
          <w:p w14:paraId="2156D3EF">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备注</w:t>
            </w:r>
          </w:p>
        </w:tc>
      </w:tr>
      <w:tr w14:paraId="65C69B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74" w:type="pct"/>
            <w:noWrap/>
            <w:vAlign w:val="center"/>
          </w:tcPr>
          <w:p w14:paraId="451E738F">
            <w:pPr>
              <w:widowControl/>
              <w:jc w:val="center"/>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1</w:t>
            </w:r>
          </w:p>
        </w:tc>
        <w:tc>
          <w:tcPr>
            <w:tcW w:w="689" w:type="pct"/>
            <w:vMerge w:val="restart"/>
            <w:vAlign w:val="center"/>
          </w:tcPr>
          <w:p w14:paraId="4D94CECE">
            <w:pPr>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color w:val="000000"/>
                <w:kern w:val="0"/>
                <w:sz w:val="24"/>
                <w:szCs w:val="24"/>
                <w:lang w:eastAsia="zh-CN"/>
              </w:rPr>
              <w:t>下围地块土地整备利益统筹项目</w:t>
            </w:r>
            <w:r>
              <w:rPr>
                <w:rFonts w:hint="eastAsia" w:ascii="仿宋_GB2312" w:hAnsi="仿宋_GB2312" w:eastAsia="仿宋_GB2312" w:cs="仿宋_GB2312"/>
                <w:color w:val="000000"/>
                <w:kern w:val="0"/>
                <w:sz w:val="24"/>
                <w:szCs w:val="24"/>
              </w:rPr>
              <w:t>评估督导</w:t>
            </w:r>
          </w:p>
        </w:tc>
        <w:tc>
          <w:tcPr>
            <w:tcW w:w="630" w:type="pct"/>
            <w:noWrap/>
            <w:vAlign w:val="center"/>
          </w:tcPr>
          <w:p w14:paraId="7D436127">
            <w:pPr>
              <w:widowControl/>
              <w:jc w:val="center"/>
              <w:rPr>
                <w:rFonts w:hint="eastAsia" w:ascii="仿宋_GB2312" w:hAnsi="仿宋_GB2312" w:eastAsia="仿宋_GB2312" w:cs="仿宋_GB2312"/>
                <w:b/>
                <w:bCs/>
                <w:color w:val="000000"/>
                <w:kern w:val="0"/>
                <w:sz w:val="24"/>
                <w:szCs w:val="24"/>
              </w:rPr>
            </w:pPr>
          </w:p>
        </w:tc>
        <w:tc>
          <w:tcPr>
            <w:tcW w:w="918" w:type="pct"/>
            <w:noWrap/>
            <w:vAlign w:val="center"/>
          </w:tcPr>
          <w:p w14:paraId="2F1CB1C7">
            <w:pPr>
              <w:widowControl/>
              <w:jc w:val="left"/>
              <w:rPr>
                <w:rFonts w:hint="eastAsia" w:ascii="仿宋_GB2312" w:hAnsi="仿宋_GB2312" w:eastAsia="仿宋_GB2312" w:cs="仿宋_GB2312"/>
                <w:b/>
                <w:bCs/>
                <w:color w:val="000000"/>
                <w:kern w:val="0"/>
                <w:sz w:val="24"/>
                <w:szCs w:val="24"/>
              </w:rPr>
            </w:pPr>
          </w:p>
        </w:tc>
        <w:tc>
          <w:tcPr>
            <w:tcW w:w="1137" w:type="pct"/>
            <w:vAlign w:val="center"/>
          </w:tcPr>
          <w:p w14:paraId="72BE6E03">
            <w:pPr>
              <w:widowControl/>
              <w:jc w:val="left"/>
              <w:rPr>
                <w:rFonts w:hint="eastAsia" w:ascii="仿宋_GB2312" w:hAnsi="仿宋_GB2312" w:eastAsia="仿宋_GB2312" w:cs="仿宋_GB2312"/>
                <w:b/>
                <w:bCs/>
                <w:color w:val="000000"/>
                <w:kern w:val="0"/>
                <w:sz w:val="24"/>
                <w:szCs w:val="24"/>
              </w:rPr>
            </w:pPr>
          </w:p>
        </w:tc>
        <w:tc>
          <w:tcPr>
            <w:tcW w:w="865" w:type="pct"/>
            <w:vAlign w:val="center"/>
          </w:tcPr>
          <w:p w14:paraId="0490428E">
            <w:pPr>
              <w:widowControl/>
              <w:ind w:left="480" w:hanging="480" w:hangingChars="200"/>
              <w:jc w:val="center"/>
              <w:rPr>
                <w:rFonts w:hint="eastAsia" w:ascii="仿宋_GB2312" w:hAnsi="仿宋_GB2312" w:eastAsia="仿宋_GB2312" w:cs="仿宋_GB2312"/>
                <w:sz w:val="24"/>
              </w:rPr>
            </w:pPr>
          </w:p>
        </w:tc>
        <w:tc>
          <w:tcPr>
            <w:tcW w:w="384" w:type="pct"/>
            <w:vAlign w:val="center"/>
          </w:tcPr>
          <w:p w14:paraId="7A0B3D8D">
            <w:pPr>
              <w:widowControl/>
              <w:jc w:val="center"/>
              <w:rPr>
                <w:rFonts w:hint="eastAsia" w:ascii="仿宋_GB2312" w:hAnsi="仿宋_GB2312" w:eastAsia="仿宋_GB2312" w:cs="仿宋_GB2312"/>
                <w:b/>
                <w:bCs/>
                <w:color w:val="000000"/>
                <w:kern w:val="0"/>
                <w:sz w:val="24"/>
                <w:szCs w:val="24"/>
              </w:rPr>
            </w:pPr>
          </w:p>
        </w:tc>
      </w:tr>
      <w:tr w14:paraId="22643A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74" w:type="pct"/>
            <w:noWrap/>
            <w:vAlign w:val="center"/>
          </w:tcPr>
          <w:p w14:paraId="536B1AC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689" w:type="pct"/>
            <w:vMerge w:val="continue"/>
            <w:vAlign w:val="center"/>
          </w:tcPr>
          <w:p w14:paraId="79E1E19E">
            <w:pPr>
              <w:widowControl/>
              <w:jc w:val="center"/>
              <w:rPr>
                <w:rFonts w:hint="eastAsia" w:ascii="仿宋_GB2312" w:hAnsi="仿宋_GB2312" w:eastAsia="仿宋_GB2312" w:cs="仿宋_GB2312"/>
                <w:color w:val="000000"/>
                <w:kern w:val="0"/>
                <w:sz w:val="24"/>
                <w:szCs w:val="24"/>
              </w:rPr>
            </w:pPr>
          </w:p>
        </w:tc>
        <w:tc>
          <w:tcPr>
            <w:tcW w:w="630" w:type="pct"/>
            <w:noWrap/>
            <w:vAlign w:val="center"/>
          </w:tcPr>
          <w:p w14:paraId="22C6C38A">
            <w:pPr>
              <w:widowControl/>
              <w:jc w:val="center"/>
              <w:rPr>
                <w:rFonts w:hint="eastAsia" w:ascii="仿宋_GB2312" w:hAnsi="仿宋_GB2312" w:eastAsia="仿宋_GB2312" w:cs="仿宋_GB2312"/>
                <w:color w:val="000000"/>
                <w:kern w:val="0"/>
                <w:sz w:val="24"/>
                <w:szCs w:val="24"/>
              </w:rPr>
            </w:pPr>
          </w:p>
        </w:tc>
        <w:tc>
          <w:tcPr>
            <w:tcW w:w="918" w:type="pct"/>
            <w:noWrap/>
            <w:vAlign w:val="center"/>
          </w:tcPr>
          <w:p w14:paraId="342EC81F">
            <w:pPr>
              <w:widowControl/>
              <w:jc w:val="left"/>
              <w:rPr>
                <w:rFonts w:hint="eastAsia" w:ascii="仿宋_GB2312" w:hAnsi="仿宋_GB2312" w:eastAsia="仿宋_GB2312" w:cs="仿宋_GB2312"/>
                <w:color w:val="000000"/>
                <w:kern w:val="0"/>
                <w:sz w:val="24"/>
                <w:szCs w:val="24"/>
              </w:rPr>
            </w:pPr>
          </w:p>
        </w:tc>
        <w:tc>
          <w:tcPr>
            <w:tcW w:w="1137" w:type="pct"/>
            <w:vAlign w:val="center"/>
          </w:tcPr>
          <w:p w14:paraId="21AD1AAA">
            <w:pPr>
              <w:widowControl/>
              <w:jc w:val="left"/>
              <w:rPr>
                <w:rFonts w:hint="eastAsia" w:ascii="仿宋_GB2312" w:hAnsi="仿宋_GB2312" w:eastAsia="仿宋_GB2312" w:cs="仿宋_GB2312"/>
                <w:color w:val="000000"/>
                <w:kern w:val="0"/>
                <w:sz w:val="24"/>
                <w:szCs w:val="24"/>
              </w:rPr>
            </w:pPr>
          </w:p>
        </w:tc>
        <w:tc>
          <w:tcPr>
            <w:tcW w:w="865" w:type="pct"/>
            <w:vAlign w:val="center"/>
          </w:tcPr>
          <w:p w14:paraId="0A5882F3">
            <w:pPr>
              <w:widowControl/>
              <w:jc w:val="center"/>
              <w:rPr>
                <w:rFonts w:hint="eastAsia" w:ascii="仿宋_GB2312" w:hAnsi="仿宋_GB2312" w:eastAsia="仿宋_GB2312" w:cs="仿宋_GB2312"/>
                <w:sz w:val="24"/>
              </w:rPr>
            </w:pPr>
          </w:p>
        </w:tc>
        <w:tc>
          <w:tcPr>
            <w:tcW w:w="384" w:type="pct"/>
            <w:vAlign w:val="center"/>
          </w:tcPr>
          <w:p w14:paraId="2178875D">
            <w:pPr>
              <w:widowControl/>
              <w:jc w:val="center"/>
              <w:rPr>
                <w:rFonts w:hint="eastAsia" w:ascii="仿宋_GB2312" w:hAnsi="仿宋_GB2312" w:eastAsia="仿宋_GB2312" w:cs="仿宋_GB2312"/>
                <w:color w:val="000000"/>
                <w:kern w:val="0"/>
                <w:sz w:val="24"/>
                <w:szCs w:val="24"/>
              </w:rPr>
            </w:pPr>
          </w:p>
        </w:tc>
      </w:tr>
      <w:tr w14:paraId="4E0AA8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74" w:type="pct"/>
            <w:noWrap/>
            <w:vAlign w:val="center"/>
          </w:tcPr>
          <w:p w14:paraId="24D5448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689" w:type="pct"/>
            <w:vMerge w:val="continue"/>
            <w:vAlign w:val="center"/>
          </w:tcPr>
          <w:p w14:paraId="10786112">
            <w:pPr>
              <w:widowControl/>
              <w:jc w:val="left"/>
              <w:rPr>
                <w:rFonts w:hint="eastAsia" w:ascii="仿宋_GB2312" w:hAnsi="仿宋_GB2312" w:eastAsia="仿宋_GB2312" w:cs="仿宋_GB2312"/>
                <w:color w:val="000000"/>
                <w:kern w:val="0"/>
                <w:sz w:val="24"/>
                <w:szCs w:val="24"/>
              </w:rPr>
            </w:pPr>
          </w:p>
        </w:tc>
        <w:tc>
          <w:tcPr>
            <w:tcW w:w="630" w:type="pct"/>
            <w:noWrap/>
            <w:vAlign w:val="center"/>
          </w:tcPr>
          <w:p w14:paraId="018D2008">
            <w:pPr>
              <w:widowControl/>
              <w:jc w:val="center"/>
              <w:rPr>
                <w:rFonts w:hint="eastAsia" w:ascii="仿宋_GB2312" w:hAnsi="仿宋_GB2312" w:eastAsia="仿宋_GB2312" w:cs="仿宋_GB2312"/>
                <w:color w:val="000000"/>
                <w:kern w:val="0"/>
                <w:sz w:val="24"/>
                <w:szCs w:val="24"/>
              </w:rPr>
            </w:pPr>
          </w:p>
        </w:tc>
        <w:tc>
          <w:tcPr>
            <w:tcW w:w="918" w:type="pct"/>
            <w:noWrap/>
            <w:vAlign w:val="center"/>
          </w:tcPr>
          <w:p w14:paraId="3DF4BDB9">
            <w:pPr>
              <w:widowControl/>
              <w:jc w:val="center"/>
              <w:rPr>
                <w:rFonts w:hint="eastAsia" w:ascii="仿宋_GB2312" w:hAnsi="仿宋_GB2312" w:eastAsia="仿宋_GB2312" w:cs="仿宋_GB2312"/>
                <w:color w:val="000000"/>
                <w:kern w:val="0"/>
                <w:sz w:val="24"/>
                <w:szCs w:val="24"/>
              </w:rPr>
            </w:pPr>
          </w:p>
        </w:tc>
        <w:tc>
          <w:tcPr>
            <w:tcW w:w="1137" w:type="pct"/>
            <w:vAlign w:val="center"/>
          </w:tcPr>
          <w:p w14:paraId="1ED32A37">
            <w:pPr>
              <w:widowControl/>
              <w:jc w:val="left"/>
              <w:rPr>
                <w:rFonts w:hint="eastAsia" w:ascii="仿宋_GB2312" w:hAnsi="仿宋_GB2312" w:eastAsia="仿宋_GB2312" w:cs="仿宋_GB2312"/>
                <w:color w:val="000000"/>
                <w:kern w:val="0"/>
                <w:sz w:val="24"/>
                <w:szCs w:val="24"/>
              </w:rPr>
            </w:pPr>
          </w:p>
        </w:tc>
        <w:tc>
          <w:tcPr>
            <w:tcW w:w="865" w:type="pct"/>
            <w:vAlign w:val="center"/>
          </w:tcPr>
          <w:p w14:paraId="40E87BF6">
            <w:pPr>
              <w:widowControl/>
              <w:jc w:val="center"/>
              <w:rPr>
                <w:rFonts w:hint="eastAsia" w:ascii="仿宋_GB2312" w:hAnsi="仿宋_GB2312" w:eastAsia="仿宋_GB2312" w:cs="仿宋_GB2312"/>
                <w:color w:val="000000"/>
                <w:kern w:val="0"/>
                <w:sz w:val="24"/>
                <w:szCs w:val="24"/>
              </w:rPr>
            </w:pPr>
          </w:p>
        </w:tc>
        <w:tc>
          <w:tcPr>
            <w:tcW w:w="384" w:type="pct"/>
            <w:vAlign w:val="center"/>
          </w:tcPr>
          <w:p w14:paraId="6CFC1274">
            <w:pPr>
              <w:widowControl/>
              <w:jc w:val="center"/>
              <w:rPr>
                <w:rFonts w:hint="eastAsia" w:ascii="仿宋_GB2312" w:hAnsi="仿宋_GB2312" w:eastAsia="仿宋_GB2312" w:cs="仿宋_GB2312"/>
                <w:color w:val="000000"/>
                <w:kern w:val="0"/>
                <w:sz w:val="24"/>
                <w:szCs w:val="24"/>
              </w:rPr>
            </w:pPr>
          </w:p>
        </w:tc>
      </w:tr>
      <w:tr w14:paraId="0DB602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74" w:type="pct"/>
            <w:noWrap/>
            <w:vAlign w:val="center"/>
          </w:tcPr>
          <w:p w14:paraId="0D55DE1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689" w:type="pct"/>
            <w:vMerge w:val="continue"/>
            <w:vAlign w:val="center"/>
          </w:tcPr>
          <w:p w14:paraId="4377D5F4">
            <w:pPr>
              <w:widowControl/>
              <w:jc w:val="left"/>
              <w:rPr>
                <w:rFonts w:hint="eastAsia" w:ascii="仿宋_GB2312" w:hAnsi="仿宋_GB2312" w:eastAsia="仿宋_GB2312" w:cs="仿宋_GB2312"/>
                <w:color w:val="000000"/>
                <w:kern w:val="0"/>
                <w:sz w:val="24"/>
                <w:szCs w:val="24"/>
              </w:rPr>
            </w:pPr>
          </w:p>
        </w:tc>
        <w:tc>
          <w:tcPr>
            <w:tcW w:w="630" w:type="pct"/>
            <w:noWrap/>
            <w:vAlign w:val="center"/>
          </w:tcPr>
          <w:p w14:paraId="49039E2F">
            <w:pPr>
              <w:widowControl/>
              <w:jc w:val="center"/>
              <w:rPr>
                <w:rFonts w:hint="eastAsia" w:ascii="仿宋_GB2312" w:hAnsi="仿宋_GB2312" w:eastAsia="仿宋_GB2312" w:cs="仿宋_GB2312"/>
                <w:color w:val="000000"/>
                <w:kern w:val="0"/>
                <w:sz w:val="24"/>
                <w:szCs w:val="24"/>
              </w:rPr>
            </w:pPr>
          </w:p>
        </w:tc>
        <w:tc>
          <w:tcPr>
            <w:tcW w:w="918" w:type="pct"/>
            <w:noWrap/>
            <w:vAlign w:val="center"/>
          </w:tcPr>
          <w:p w14:paraId="2637098F">
            <w:pPr>
              <w:widowControl/>
              <w:jc w:val="center"/>
              <w:rPr>
                <w:rFonts w:hint="eastAsia" w:ascii="仿宋_GB2312" w:hAnsi="仿宋_GB2312" w:eastAsia="仿宋_GB2312" w:cs="仿宋_GB2312"/>
                <w:color w:val="000000"/>
                <w:kern w:val="0"/>
                <w:sz w:val="24"/>
                <w:szCs w:val="24"/>
              </w:rPr>
            </w:pPr>
          </w:p>
        </w:tc>
        <w:tc>
          <w:tcPr>
            <w:tcW w:w="1137" w:type="pct"/>
            <w:vAlign w:val="center"/>
          </w:tcPr>
          <w:p w14:paraId="755C1A65">
            <w:pPr>
              <w:widowControl/>
              <w:jc w:val="left"/>
              <w:rPr>
                <w:rFonts w:hint="eastAsia" w:ascii="仿宋_GB2312" w:hAnsi="仿宋_GB2312" w:eastAsia="仿宋_GB2312" w:cs="仿宋_GB2312"/>
                <w:color w:val="000000"/>
                <w:kern w:val="0"/>
                <w:sz w:val="24"/>
                <w:szCs w:val="24"/>
              </w:rPr>
            </w:pPr>
          </w:p>
        </w:tc>
        <w:tc>
          <w:tcPr>
            <w:tcW w:w="865" w:type="pct"/>
            <w:vAlign w:val="center"/>
          </w:tcPr>
          <w:p w14:paraId="4F9FEF5C">
            <w:pPr>
              <w:widowControl/>
              <w:jc w:val="center"/>
              <w:rPr>
                <w:rFonts w:hint="eastAsia" w:ascii="仿宋_GB2312" w:hAnsi="仿宋_GB2312" w:eastAsia="仿宋_GB2312" w:cs="仿宋_GB2312"/>
                <w:sz w:val="24"/>
              </w:rPr>
            </w:pPr>
          </w:p>
        </w:tc>
        <w:tc>
          <w:tcPr>
            <w:tcW w:w="384" w:type="pct"/>
            <w:vAlign w:val="center"/>
          </w:tcPr>
          <w:p w14:paraId="45DD3825">
            <w:pPr>
              <w:widowControl/>
              <w:jc w:val="center"/>
              <w:rPr>
                <w:rFonts w:hint="eastAsia" w:ascii="仿宋_GB2312" w:hAnsi="仿宋_GB2312" w:eastAsia="仿宋_GB2312" w:cs="仿宋_GB2312"/>
                <w:color w:val="000000"/>
                <w:kern w:val="0"/>
                <w:sz w:val="24"/>
                <w:szCs w:val="24"/>
              </w:rPr>
            </w:pPr>
          </w:p>
        </w:tc>
      </w:tr>
      <w:tr w14:paraId="19C20E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74" w:type="pct"/>
            <w:noWrap/>
            <w:vAlign w:val="center"/>
          </w:tcPr>
          <w:p w14:paraId="15496AD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689" w:type="pct"/>
            <w:vMerge w:val="continue"/>
            <w:vAlign w:val="center"/>
          </w:tcPr>
          <w:p w14:paraId="3627D226">
            <w:pPr>
              <w:widowControl/>
              <w:jc w:val="left"/>
              <w:rPr>
                <w:rFonts w:hint="eastAsia" w:ascii="仿宋_GB2312" w:hAnsi="仿宋_GB2312" w:eastAsia="仿宋_GB2312" w:cs="仿宋_GB2312"/>
                <w:color w:val="000000"/>
                <w:kern w:val="0"/>
                <w:sz w:val="24"/>
                <w:szCs w:val="24"/>
              </w:rPr>
            </w:pPr>
          </w:p>
        </w:tc>
        <w:tc>
          <w:tcPr>
            <w:tcW w:w="630" w:type="pct"/>
            <w:noWrap/>
            <w:vAlign w:val="center"/>
          </w:tcPr>
          <w:p w14:paraId="27FDE80D">
            <w:pPr>
              <w:widowControl/>
              <w:jc w:val="center"/>
              <w:rPr>
                <w:rFonts w:hint="eastAsia" w:ascii="仿宋_GB2312" w:hAnsi="仿宋_GB2312" w:eastAsia="仿宋_GB2312" w:cs="仿宋_GB2312"/>
                <w:color w:val="000000"/>
                <w:kern w:val="0"/>
                <w:sz w:val="24"/>
                <w:szCs w:val="24"/>
              </w:rPr>
            </w:pPr>
          </w:p>
        </w:tc>
        <w:tc>
          <w:tcPr>
            <w:tcW w:w="918" w:type="pct"/>
            <w:noWrap/>
            <w:vAlign w:val="center"/>
          </w:tcPr>
          <w:p w14:paraId="04CB18BF">
            <w:pPr>
              <w:widowControl/>
              <w:jc w:val="center"/>
              <w:rPr>
                <w:rFonts w:hint="eastAsia" w:ascii="仿宋_GB2312" w:hAnsi="仿宋_GB2312" w:eastAsia="仿宋_GB2312" w:cs="仿宋_GB2312"/>
                <w:color w:val="000000"/>
                <w:kern w:val="0"/>
                <w:sz w:val="24"/>
                <w:szCs w:val="24"/>
              </w:rPr>
            </w:pPr>
          </w:p>
        </w:tc>
        <w:tc>
          <w:tcPr>
            <w:tcW w:w="1137" w:type="pct"/>
            <w:vAlign w:val="center"/>
          </w:tcPr>
          <w:p w14:paraId="6D58BB15">
            <w:pPr>
              <w:widowControl/>
              <w:jc w:val="left"/>
              <w:rPr>
                <w:rFonts w:hint="eastAsia" w:ascii="仿宋_GB2312" w:hAnsi="仿宋_GB2312" w:eastAsia="仿宋_GB2312" w:cs="仿宋_GB2312"/>
                <w:color w:val="000000"/>
                <w:kern w:val="0"/>
                <w:sz w:val="24"/>
                <w:szCs w:val="24"/>
              </w:rPr>
            </w:pPr>
          </w:p>
        </w:tc>
        <w:tc>
          <w:tcPr>
            <w:tcW w:w="865" w:type="pct"/>
            <w:vAlign w:val="center"/>
          </w:tcPr>
          <w:p w14:paraId="3C08C3E1">
            <w:pPr>
              <w:widowControl/>
              <w:jc w:val="center"/>
              <w:rPr>
                <w:rFonts w:hint="eastAsia" w:ascii="仿宋_GB2312" w:hAnsi="仿宋_GB2312" w:eastAsia="仿宋_GB2312" w:cs="仿宋_GB2312"/>
                <w:sz w:val="24"/>
              </w:rPr>
            </w:pPr>
          </w:p>
        </w:tc>
        <w:tc>
          <w:tcPr>
            <w:tcW w:w="384" w:type="pct"/>
            <w:vAlign w:val="center"/>
          </w:tcPr>
          <w:p w14:paraId="137DAE8A">
            <w:pPr>
              <w:widowControl/>
              <w:jc w:val="center"/>
              <w:rPr>
                <w:rFonts w:hint="eastAsia" w:ascii="仿宋_GB2312" w:hAnsi="仿宋_GB2312" w:eastAsia="仿宋_GB2312" w:cs="仿宋_GB2312"/>
                <w:color w:val="000000"/>
                <w:kern w:val="0"/>
                <w:sz w:val="24"/>
                <w:szCs w:val="24"/>
              </w:rPr>
            </w:pPr>
          </w:p>
        </w:tc>
      </w:tr>
      <w:tr w14:paraId="4FC7A5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74" w:type="pct"/>
            <w:noWrap/>
            <w:vAlign w:val="center"/>
          </w:tcPr>
          <w:p w14:paraId="4BFE4C0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689" w:type="pct"/>
            <w:vMerge w:val="continue"/>
            <w:vAlign w:val="center"/>
          </w:tcPr>
          <w:p w14:paraId="14861637">
            <w:pPr>
              <w:widowControl/>
              <w:jc w:val="left"/>
              <w:rPr>
                <w:rFonts w:hint="eastAsia" w:ascii="仿宋_GB2312" w:hAnsi="仿宋_GB2312" w:eastAsia="仿宋_GB2312" w:cs="仿宋_GB2312"/>
                <w:color w:val="000000"/>
                <w:kern w:val="0"/>
                <w:sz w:val="24"/>
                <w:szCs w:val="24"/>
              </w:rPr>
            </w:pPr>
          </w:p>
        </w:tc>
        <w:tc>
          <w:tcPr>
            <w:tcW w:w="630" w:type="pct"/>
            <w:noWrap/>
            <w:vAlign w:val="center"/>
          </w:tcPr>
          <w:p w14:paraId="48AD3014">
            <w:pPr>
              <w:widowControl/>
              <w:jc w:val="center"/>
              <w:rPr>
                <w:rFonts w:hint="eastAsia" w:ascii="仿宋_GB2312" w:hAnsi="仿宋_GB2312" w:eastAsia="仿宋_GB2312" w:cs="仿宋_GB2312"/>
                <w:color w:val="000000"/>
                <w:kern w:val="0"/>
                <w:sz w:val="24"/>
                <w:szCs w:val="24"/>
              </w:rPr>
            </w:pPr>
          </w:p>
        </w:tc>
        <w:tc>
          <w:tcPr>
            <w:tcW w:w="918" w:type="pct"/>
            <w:noWrap/>
            <w:vAlign w:val="center"/>
          </w:tcPr>
          <w:p w14:paraId="5C01ACCD">
            <w:pPr>
              <w:widowControl/>
              <w:jc w:val="center"/>
              <w:rPr>
                <w:rFonts w:hint="eastAsia" w:ascii="仿宋_GB2312" w:hAnsi="仿宋_GB2312" w:eastAsia="仿宋_GB2312" w:cs="仿宋_GB2312"/>
                <w:color w:val="000000"/>
                <w:kern w:val="0"/>
                <w:sz w:val="24"/>
                <w:szCs w:val="24"/>
              </w:rPr>
            </w:pPr>
          </w:p>
        </w:tc>
        <w:tc>
          <w:tcPr>
            <w:tcW w:w="1137" w:type="pct"/>
            <w:vAlign w:val="center"/>
          </w:tcPr>
          <w:p w14:paraId="3413E56E">
            <w:pPr>
              <w:widowControl/>
              <w:jc w:val="left"/>
              <w:rPr>
                <w:rFonts w:hint="eastAsia" w:ascii="仿宋_GB2312" w:hAnsi="仿宋_GB2312" w:eastAsia="仿宋_GB2312" w:cs="仿宋_GB2312"/>
                <w:color w:val="000000"/>
                <w:kern w:val="0"/>
                <w:sz w:val="24"/>
                <w:szCs w:val="24"/>
              </w:rPr>
            </w:pPr>
          </w:p>
        </w:tc>
        <w:tc>
          <w:tcPr>
            <w:tcW w:w="865" w:type="pct"/>
            <w:vAlign w:val="center"/>
          </w:tcPr>
          <w:p w14:paraId="18E642F6">
            <w:pPr>
              <w:widowControl/>
              <w:jc w:val="center"/>
              <w:rPr>
                <w:rFonts w:hint="eastAsia" w:ascii="仿宋_GB2312" w:hAnsi="仿宋_GB2312" w:eastAsia="仿宋_GB2312" w:cs="仿宋_GB2312"/>
                <w:sz w:val="24"/>
              </w:rPr>
            </w:pPr>
          </w:p>
        </w:tc>
        <w:tc>
          <w:tcPr>
            <w:tcW w:w="384" w:type="pct"/>
            <w:vAlign w:val="center"/>
          </w:tcPr>
          <w:p w14:paraId="75E5615D">
            <w:pPr>
              <w:widowControl/>
              <w:jc w:val="center"/>
              <w:rPr>
                <w:rFonts w:hint="eastAsia" w:ascii="仿宋_GB2312" w:hAnsi="仿宋_GB2312" w:eastAsia="仿宋_GB2312" w:cs="仿宋_GB2312"/>
                <w:color w:val="000000"/>
                <w:kern w:val="0"/>
                <w:sz w:val="24"/>
                <w:szCs w:val="24"/>
              </w:rPr>
            </w:pPr>
          </w:p>
        </w:tc>
      </w:tr>
      <w:tr w14:paraId="35A384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74" w:type="pct"/>
            <w:noWrap/>
            <w:vAlign w:val="center"/>
          </w:tcPr>
          <w:p w14:paraId="7F85B00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689" w:type="pct"/>
            <w:vMerge w:val="continue"/>
            <w:vAlign w:val="center"/>
          </w:tcPr>
          <w:p w14:paraId="2D345CA7">
            <w:pPr>
              <w:widowControl/>
              <w:jc w:val="left"/>
              <w:rPr>
                <w:rFonts w:hint="eastAsia" w:ascii="仿宋_GB2312" w:hAnsi="仿宋_GB2312" w:eastAsia="仿宋_GB2312" w:cs="仿宋_GB2312"/>
                <w:color w:val="000000"/>
                <w:kern w:val="0"/>
                <w:sz w:val="24"/>
                <w:szCs w:val="24"/>
              </w:rPr>
            </w:pPr>
          </w:p>
        </w:tc>
        <w:tc>
          <w:tcPr>
            <w:tcW w:w="630" w:type="pct"/>
            <w:noWrap/>
            <w:vAlign w:val="center"/>
          </w:tcPr>
          <w:p w14:paraId="3F1020EE">
            <w:pPr>
              <w:widowControl/>
              <w:jc w:val="center"/>
              <w:rPr>
                <w:rFonts w:hint="eastAsia" w:ascii="仿宋_GB2312" w:hAnsi="仿宋_GB2312" w:eastAsia="仿宋_GB2312" w:cs="仿宋_GB2312"/>
                <w:color w:val="000000"/>
                <w:kern w:val="0"/>
                <w:sz w:val="24"/>
                <w:szCs w:val="24"/>
              </w:rPr>
            </w:pPr>
          </w:p>
        </w:tc>
        <w:tc>
          <w:tcPr>
            <w:tcW w:w="918" w:type="pct"/>
            <w:noWrap/>
            <w:vAlign w:val="center"/>
          </w:tcPr>
          <w:p w14:paraId="7745ABB8">
            <w:pPr>
              <w:widowControl/>
              <w:jc w:val="center"/>
              <w:rPr>
                <w:rFonts w:hint="eastAsia" w:ascii="仿宋_GB2312" w:hAnsi="仿宋_GB2312" w:eastAsia="仿宋_GB2312" w:cs="仿宋_GB2312"/>
                <w:color w:val="000000"/>
                <w:kern w:val="0"/>
                <w:sz w:val="24"/>
                <w:szCs w:val="24"/>
              </w:rPr>
            </w:pPr>
          </w:p>
        </w:tc>
        <w:tc>
          <w:tcPr>
            <w:tcW w:w="1137" w:type="pct"/>
            <w:vAlign w:val="center"/>
          </w:tcPr>
          <w:p w14:paraId="2403E316">
            <w:pPr>
              <w:widowControl/>
              <w:jc w:val="left"/>
              <w:rPr>
                <w:rFonts w:hint="eastAsia" w:ascii="仿宋_GB2312" w:hAnsi="仿宋_GB2312" w:eastAsia="仿宋_GB2312" w:cs="仿宋_GB2312"/>
                <w:color w:val="000000"/>
                <w:kern w:val="0"/>
                <w:sz w:val="24"/>
                <w:szCs w:val="24"/>
              </w:rPr>
            </w:pPr>
          </w:p>
        </w:tc>
        <w:tc>
          <w:tcPr>
            <w:tcW w:w="865" w:type="pct"/>
            <w:vAlign w:val="center"/>
          </w:tcPr>
          <w:p w14:paraId="29C504CF">
            <w:pPr>
              <w:widowControl/>
              <w:jc w:val="center"/>
              <w:rPr>
                <w:rFonts w:hint="eastAsia" w:ascii="仿宋_GB2312" w:hAnsi="仿宋_GB2312" w:eastAsia="仿宋_GB2312" w:cs="仿宋_GB2312"/>
                <w:sz w:val="24"/>
              </w:rPr>
            </w:pPr>
          </w:p>
        </w:tc>
        <w:tc>
          <w:tcPr>
            <w:tcW w:w="384" w:type="pct"/>
            <w:vAlign w:val="center"/>
          </w:tcPr>
          <w:p w14:paraId="28D6DC34">
            <w:pPr>
              <w:widowControl/>
              <w:jc w:val="center"/>
              <w:rPr>
                <w:rFonts w:hint="eastAsia" w:ascii="仿宋_GB2312" w:hAnsi="仿宋_GB2312" w:eastAsia="仿宋_GB2312" w:cs="仿宋_GB2312"/>
                <w:color w:val="000000"/>
                <w:kern w:val="0"/>
                <w:sz w:val="24"/>
                <w:szCs w:val="24"/>
              </w:rPr>
            </w:pPr>
          </w:p>
        </w:tc>
      </w:tr>
      <w:tr w14:paraId="5E8CAF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74" w:type="pct"/>
            <w:noWrap/>
            <w:vAlign w:val="center"/>
          </w:tcPr>
          <w:p w14:paraId="60DE176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689" w:type="pct"/>
            <w:vMerge w:val="continue"/>
            <w:vAlign w:val="center"/>
          </w:tcPr>
          <w:p w14:paraId="78AFE6B4">
            <w:pPr>
              <w:widowControl/>
              <w:jc w:val="left"/>
              <w:rPr>
                <w:rFonts w:hint="eastAsia" w:ascii="仿宋_GB2312" w:hAnsi="仿宋_GB2312" w:eastAsia="仿宋_GB2312" w:cs="仿宋_GB2312"/>
                <w:color w:val="000000"/>
                <w:kern w:val="0"/>
                <w:sz w:val="24"/>
                <w:szCs w:val="24"/>
              </w:rPr>
            </w:pPr>
          </w:p>
        </w:tc>
        <w:tc>
          <w:tcPr>
            <w:tcW w:w="630" w:type="pct"/>
            <w:noWrap/>
            <w:vAlign w:val="center"/>
          </w:tcPr>
          <w:p w14:paraId="6B2BC2C8">
            <w:pPr>
              <w:widowControl/>
              <w:jc w:val="center"/>
              <w:rPr>
                <w:rFonts w:hint="eastAsia" w:ascii="仿宋_GB2312" w:hAnsi="仿宋_GB2312" w:eastAsia="仿宋_GB2312" w:cs="仿宋_GB2312"/>
                <w:color w:val="000000"/>
                <w:kern w:val="0"/>
                <w:sz w:val="24"/>
                <w:szCs w:val="24"/>
              </w:rPr>
            </w:pPr>
          </w:p>
        </w:tc>
        <w:tc>
          <w:tcPr>
            <w:tcW w:w="918" w:type="pct"/>
            <w:noWrap/>
            <w:vAlign w:val="center"/>
          </w:tcPr>
          <w:p w14:paraId="0BAFC2C3">
            <w:pPr>
              <w:widowControl/>
              <w:jc w:val="center"/>
              <w:rPr>
                <w:rFonts w:hint="eastAsia" w:ascii="仿宋_GB2312" w:hAnsi="仿宋_GB2312" w:eastAsia="仿宋_GB2312" w:cs="仿宋_GB2312"/>
                <w:color w:val="000000"/>
                <w:kern w:val="0"/>
                <w:sz w:val="24"/>
                <w:szCs w:val="24"/>
              </w:rPr>
            </w:pPr>
          </w:p>
        </w:tc>
        <w:tc>
          <w:tcPr>
            <w:tcW w:w="1137" w:type="pct"/>
            <w:vAlign w:val="center"/>
          </w:tcPr>
          <w:p w14:paraId="79E225E7">
            <w:pPr>
              <w:widowControl/>
              <w:jc w:val="left"/>
              <w:rPr>
                <w:rFonts w:hint="eastAsia" w:ascii="仿宋_GB2312" w:hAnsi="仿宋_GB2312" w:eastAsia="仿宋_GB2312" w:cs="仿宋_GB2312"/>
                <w:color w:val="000000"/>
                <w:kern w:val="0"/>
                <w:sz w:val="24"/>
                <w:szCs w:val="24"/>
              </w:rPr>
            </w:pPr>
          </w:p>
        </w:tc>
        <w:tc>
          <w:tcPr>
            <w:tcW w:w="865" w:type="pct"/>
            <w:vAlign w:val="center"/>
          </w:tcPr>
          <w:p w14:paraId="4A0CD106">
            <w:pPr>
              <w:widowControl/>
              <w:jc w:val="center"/>
              <w:rPr>
                <w:rFonts w:hint="eastAsia" w:ascii="仿宋_GB2312" w:hAnsi="仿宋_GB2312" w:eastAsia="仿宋_GB2312" w:cs="仿宋_GB2312"/>
                <w:sz w:val="24"/>
              </w:rPr>
            </w:pPr>
          </w:p>
        </w:tc>
        <w:tc>
          <w:tcPr>
            <w:tcW w:w="384" w:type="pct"/>
            <w:vAlign w:val="center"/>
          </w:tcPr>
          <w:p w14:paraId="66CE214F">
            <w:pPr>
              <w:widowControl/>
              <w:jc w:val="center"/>
              <w:rPr>
                <w:rFonts w:hint="eastAsia" w:ascii="仿宋_GB2312" w:hAnsi="仿宋_GB2312" w:eastAsia="仿宋_GB2312" w:cs="仿宋_GB2312"/>
                <w:color w:val="000000"/>
                <w:kern w:val="0"/>
                <w:sz w:val="24"/>
                <w:szCs w:val="24"/>
              </w:rPr>
            </w:pPr>
          </w:p>
        </w:tc>
      </w:tr>
      <w:tr w14:paraId="7171BE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74" w:type="pct"/>
            <w:noWrap/>
            <w:vAlign w:val="center"/>
          </w:tcPr>
          <w:p w14:paraId="202C627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p>
        </w:tc>
        <w:tc>
          <w:tcPr>
            <w:tcW w:w="689" w:type="pct"/>
            <w:vMerge w:val="continue"/>
            <w:vAlign w:val="center"/>
          </w:tcPr>
          <w:p w14:paraId="6251CBB0">
            <w:pPr>
              <w:widowControl/>
              <w:jc w:val="left"/>
              <w:rPr>
                <w:rFonts w:hint="eastAsia" w:ascii="仿宋_GB2312" w:hAnsi="仿宋_GB2312" w:eastAsia="仿宋_GB2312" w:cs="仿宋_GB2312"/>
                <w:color w:val="000000"/>
                <w:kern w:val="0"/>
                <w:sz w:val="24"/>
                <w:szCs w:val="24"/>
              </w:rPr>
            </w:pPr>
          </w:p>
        </w:tc>
        <w:tc>
          <w:tcPr>
            <w:tcW w:w="630" w:type="pct"/>
            <w:noWrap/>
            <w:vAlign w:val="center"/>
          </w:tcPr>
          <w:p w14:paraId="3A6BCB9C">
            <w:pPr>
              <w:widowControl/>
              <w:jc w:val="center"/>
              <w:rPr>
                <w:rFonts w:hint="eastAsia" w:ascii="仿宋_GB2312" w:hAnsi="仿宋_GB2312" w:eastAsia="仿宋_GB2312" w:cs="仿宋_GB2312"/>
                <w:color w:val="000000"/>
                <w:kern w:val="0"/>
                <w:sz w:val="24"/>
                <w:szCs w:val="24"/>
              </w:rPr>
            </w:pPr>
          </w:p>
        </w:tc>
        <w:tc>
          <w:tcPr>
            <w:tcW w:w="918" w:type="pct"/>
            <w:noWrap/>
            <w:vAlign w:val="center"/>
          </w:tcPr>
          <w:p w14:paraId="24B8A3DB">
            <w:pPr>
              <w:widowControl/>
              <w:jc w:val="center"/>
              <w:rPr>
                <w:rFonts w:hint="eastAsia" w:ascii="仿宋_GB2312" w:hAnsi="仿宋_GB2312" w:eastAsia="仿宋_GB2312" w:cs="仿宋_GB2312"/>
                <w:color w:val="000000"/>
                <w:kern w:val="0"/>
                <w:sz w:val="24"/>
                <w:szCs w:val="24"/>
              </w:rPr>
            </w:pPr>
          </w:p>
        </w:tc>
        <w:tc>
          <w:tcPr>
            <w:tcW w:w="1137" w:type="pct"/>
            <w:vAlign w:val="center"/>
          </w:tcPr>
          <w:p w14:paraId="118875D7">
            <w:pPr>
              <w:widowControl/>
              <w:jc w:val="left"/>
              <w:rPr>
                <w:rFonts w:hint="eastAsia" w:ascii="仿宋_GB2312" w:hAnsi="仿宋_GB2312" w:eastAsia="仿宋_GB2312" w:cs="仿宋_GB2312"/>
                <w:color w:val="000000"/>
                <w:kern w:val="0"/>
                <w:sz w:val="24"/>
                <w:szCs w:val="24"/>
              </w:rPr>
            </w:pPr>
          </w:p>
        </w:tc>
        <w:tc>
          <w:tcPr>
            <w:tcW w:w="865" w:type="pct"/>
            <w:vAlign w:val="center"/>
          </w:tcPr>
          <w:p w14:paraId="082BDC80">
            <w:pPr>
              <w:widowControl/>
              <w:jc w:val="center"/>
              <w:rPr>
                <w:rFonts w:hint="eastAsia" w:ascii="仿宋_GB2312" w:hAnsi="仿宋_GB2312" w:eastAsia="仿宋_GB2312" w:cs="仿宋_GB2312"/>
                <w:color w:val="000000"/>
                <w:kern w:val="0"/>
                <w:sz w:val="24"/>
                <w:szCs w:val="24"/>
              </w:rPr>
            </w:pPr>
          </w:p>
        </w:tc>
        <w:tc>
          <w:tcPr>
            <w:tcW w:w="384" w:type="pct"/>
            <w:vAlign w:val="center"/>
          </w:tcPr>
          <w:p w14:paraId="218D1C6C">
            <w:pPr>
              <w:widowControl/>
              <w:jc w:val="center"/>
              <w:rPr>
                <w:rFonts w:hint="eastAsia" w:ascii="仿宋_GB2312" w:hAnsi="仿宋_GB2312" w:eastAsia="仿宋_GB2312" w:cs="仿宋_GB2312"/>
                <w:color w:val="000000"/>
                <w:kern w:val="0"/>
                <w:sz w:val="24"/>
                <w:szCs w:val="24"/>
              </w:rPr>
            </w:pPr>
          </w:p>
        </w:tc>
      </w:tr>
      <w:tr w14:paraId="4DBCE3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74" w:type="pct"/>
            <w:noWrap/>
            <w:vAlign w:val="center"/>
          </w:tcPr>
          <w:p w14:paraId="7AB6FB0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689" w:type="pct"/>
            <w:vMerge w:val="continue"/>
            <w:vAlign w:val="center"/>
          </w:tcPr>
          <w:p w14:paraId="06E2CDA3">
            <w:pPr>
              <w:widowControl/>
              <w:jc w:val="left"/>
              <w:rPr>
                <w:rFonts w:hint="eastAsia" w:ascii="仿宋_GB2312" w:hAnsi="仿宋_GB2312" w:eastAsia="仿宋_GB2312" w:cs="仿宋_GB2312"/>
                <w:color w:val="000000"/>
                <w:kern w:val="0"/>
                <w:sz w:val="24"/>
                <w:szCs w:val="24"/>
              </w:rPr>
            </w:pPr>
          </w:p>
        </w:tc>
        <w:tc>
          <w:tcPr>
            <w:tcW w:w="630" w:type="pct"/>
            <w:noWrap/>
            <w:vAlign w:val="center"/>
          </w:tcPr>
          <w:p w14:paraId="52CA9154">
            <w:pPr>
              <w:widowControl/>
              <w:jc w:val="center"/>
              <w:rPr>
                <w:rFonts w:hint="eastAsia" w:ascii="仿宋_GB2312" w:hAnsi="仿宋_GB2312" w:eastAsia="仿宋_GB2312" w:cs="仿宋_GB2312"/>
                <w:color w:val="000000"/>
                <w:kern w:val="0"/>
                <w:sz w:val="24"/>
                <w:szCs w:val="24"/>
              </w:rPr>
            </w:pPr>
          </w:p>
        </w:tc>
        <w:tc>
          <w:tcPr>
            <w:tcW w:w="918" w:type="pct"/>
            <w:noWrap/>
            <w:vAlign w:val="center"/>
          </w:tcPr>
          <w:p w14:paraId="19CEE90B">
            <w:pPr>
              <w:widowControl/>
              <w:jc w:val="center"/>
              <w:rPr>
                <w:rFonts w:hint="eastAsia" w:ascii="仿宋_GB2312" w:hAnsi="仿宋_GB2312" w:eastAsia="仿宋_GB2312" w:cs="仿宋_GB2312"/>
                <w:color w:val="000000"/>
                <w:kern w:val="0"/>
                <w:sz w:val="24"/>
                <w:szCs w:val="24"/>
              </w:rPr>
            </w:pPr>
          </w:p>
        </w:tc>
        <w:tc>
          <w:tcPr>
            <w:tcW w:w="1137" w:type="pct"/>
            <w:vAlign w:val="center"/>
          </w:tcPr>
          <w:p w14:paraId="5BA5A9C7">
            <w:pPr>
              <w:widowControl/>
              <w:jc w:val="left"/>
              <w:rPr>
                <w:rFonts w:hint="eastAsia" w:ascii="仿宋_GB2312" w:hAnsi="仿宋_GB2312" w:eastAsia="仿宋_GB2312" w:cs="仿宋_GB2312"/>
                <w:color w:val="000000"/>
                <w:kern w:val="0"/>
                <w:sz w:val="24"/>
                <w:szCs w:val="24"/>
              </w:rPr>
            </w:pPr>
          </w:p>
        </w:tc>
        <w:tc>
          <w:tcPr>
            <w:tcW w:w="865" w:type="pct"/>
            <w:vAlign w:val="center"/>
          </w:tcPr>
          <w:p w14:paraId="1FFD66F5">
            <w:pPr>
              <w:widowControl/>
              <w:jc w:val="center"/>
              <w:rPr>
                <w:rFonts w:hint="eastAsia" w:ascii="仿宋_GB2312" w:hAnsi="仿宋_GB2312" w:eastAsia="仿宋_GB2312" w:cs="仿宋_GB2312"/>
                <w:color w:val="000000"/>
                <w:kern w:val="0"/>
                <w:sz w:val="24"/>
                <w:szCs w:val="24"/>
              </w:rPr>
            </w:pPr>
          </w:p>
        </w:tc>
        <w:tc>
          <w:tcPr>
            <w:tcW w:w="384" w:type="pct"/>
            <w:vAlign w:val="center"/>
          </w:tcPr>
          <w:p w14:paraId="594771B3">
            <w:pPr>
              <w:widowControl/>
              <w:rPr>
                <w:rFonts w:hint="eastAsia" w:ascii="仿宋_GB2312" w:hAnsi="仿宋_GB2312" w:eastAsia="仿宋_GB2312" w:cs="仿宋_GB2312"/>
                <w:color w:val="000000"/>
                <w:kern w:val="0"/>
                <w:sz w:val="24"/>
                <w:szCs w:val="24"/>
              </w:rPr>
            </w:pPr>
          </w:p>
        </w:tc>
      </w:tr>
      <w:tr w14:paraId="0E3D2C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74" w:type="pct"/>
            <w:noWrap/>
            <w:vAlign w:val="center"/>
          </w:tcPr>
          <w:p w14:paraId="018A414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w:t>
            </w:r>
          </w:p>
        </w:tc>
        <w:tc>
          <w:tcPr>
            <w:tcW w:w="689" w:type="pct"/>
            <w:vMerge w:val="continue"/>
            <w:vAlign w:val="center"/>
          </w:tcPr>
          <w:p w14:paraId="1490A0C7">
            <w:pPr>
              <w:widowControl/>
              <w:jc w:val="left"/>
              <w:rPr>
                <w:rFonts w:hint="eastAsia" w:ascii="仿宋_GB2312" w:hAnsi="仿宋_GB2312" w:eastAsia="仿宋_GB2312" w:cs="仿宋_GB2312"/>
                <w:color w:val="000000"/>
                <w:kern w:val="0"/>
                <w:sz w:val="24"/>
                <w:szCs w:val="24"/>
              </w:rPr>
            </w:pPr>
          </w:p>
        </w:tc>
        <w:tc>
          <w:tcPr>
            <w:tcW w:w="630" w:type="pct"/>
            <w:noWrap/>
            <w:vAlign w:val="center"/>
          </w:tcPr>
          <w:p w14:paraId="47AA013C">
            <w:pPr>
              <w:widowControl/>
              <w:jc w:val="center"/>
              <w:rPr>
                <w:rFonts w:hint="eastAsia" w:ascii="仿宋_GB2312" w:hAnsi="仿宋_GB2312" w:eastAsia="仿宋_GB2312" w:cs="仿宋_GB2312"/>
                <w:color w:val="000000"/>
                <w:kern w:val="0"/>
                <w:sz w:val="24"/>
                <w:szCs w:val="24"/>
              </w:rPr>
            </w:pPr>
          </w:p>
        </w:tc>
        <w:tc>
          <w:tcPr>
            <w:tcW w:w="918" w:type="pct"/>
            <w:noWrap/>
            <w:vAlign w:val="center"/>
          </w:tcPr>
          <w:p w14:paraId="3CD9A278">
            <w:pPr>
              <w:widowControl/>
              <w:jc w:val="center"/>
              <w:rPr>
                <w:rFonts w:hint="eastAsia" w:ascii="仿宋_GB2312" w:hAnsi="仿宋_GB2312" w:eastAsia="仿宋_GB2312" w:cs="仿宋_GB2312"/>
                <w:color w:val="000000"/>
                <w:kern w:val="0"/>
                <w:sz w:val="24"/>
                <w:szCs w:val="24"/>
              </w:rPr>
            </w:pPr>
          </w:p>
        </w:tc>
        <w:tc>
          <w:tcPr>
            <w:tcW w:w="1137" w:type="pct"/>
            <w:vAlign w:val="center"/>
          </w:tcPr>
          <w:p w14:paraId="684C0309">
            <w:pPr>
              <w:widowControl/>
              <w:jc w:val="left"/>
              <w:rPr>
                <w:rFonts w:hint="eastAsia" w:ascii="仿宋_GB2312" w:hAnsi="仿宋_GB2312" w:eastAsia="仿宋_GB2312" w:cs="仿宋_GB2312"/>
                <w:color w:val="000000"/>
                <w:kern w:val="0"/>
                <w:sz w:val="24"/>
                <w:szCs w:val="24"/>
              </w:rPr>
            </w:pPr>
          </w:p>
        </w:tc>
        <w:tc>
          <w:tcPr>
            <w:tcW w:w="865" w:type="pct"/>
            <w:vAlign w:val="center"/>
          </w:tcPr>
          <w:p w14:paraId="0F44E649">
            <w:pPr>
              <w:widowControl/>
              <w:jc w:val="center"/>
              <w:rPr>
                <w:rFonts w:hint="eastAsia" w:ascii="仿宋_GB2312" w:hAnsi="仿宋_GB2312" w:eastAsia="仿宋_GB2312" w:cs="仿宋_GB2312"/>
                <w:color w:val="000000"/>
                <w:kern w:val="0"/>
                <w:sz w:val="24"/>
                <w:szCs w:val="24"/>
              </w:rPr>
            </w:pPr>
          </w:p>
        </w:tc>
        <w:tc>
          <w:tcPr>
            <w:tcW w:w="384" w:type="pct"/>
            <w:vAlign w:val="center"/>
          </w:tcPr>
          <w:p w14:paraId="68E53E47">
            <w:pPr>
              <w:widowControl/>
              <w:jc w:val="center"/>
              <w:rPr>
                <w:rFonts w:hint="eastAsia" w:ascii="仿宋_GB2312" w:hAnsi="仿宋_GB2312" w:eastAsia="仿宋_GB2312" w:cs="仿宋_GB2312"/>
                <w:color w:val="000000"/>
                <w:kern w:val="0"/>
                <w:sz w:val="24"/>
                <w:szCs w:val="24"/>
              </w:rPr>
            </w:pPr>
          </w:p>
        </w:tc>
      </w:tr>
      <w:tr w14:paraId="163A09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74" w:type="pct"/>
            <w:noWrap/>
            <w:vAlign w:val="center"/>
          </w:tcPr>
          <w:p w14:paraId="273D9A8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w:t>
            </w:r>
          </w:p>
        </w:tc>
        <w:tc>
          <w:tcPr>
            <w:tcW w:w="689" w:type="pct"/>
            <w:vMerge w:val="continue"/>
            <w:vAlign w:val="center"/>
          </w:tcPr>
          <w:p w14:paraId="24659701">
            <w:pPr>
              <w:widowControl/>
              <w:jc w:val="left"/>
              <w:rPr>
                <w:rFonts w:hint="eastAsia" w:ascii="仿宋_GB2312" w:hAnsi="仿宋_GB2312" w:eastAsia="仿宋_GB2312" w:cs="仿宋_GB2312"/>
                <w:color w:val="000000"/>
                <w:kern w:val="0"/>
                <w:sz w:val="24"/>
                <w:szCs w:val="24"/>
              </w:rPr>
            </w:pPr>
          </w:p>
        </w:tc>
        <w:tc>
          <w:tcPr>
            <w:tcW w:w="630" w:type="pct"/>
            <w:noWrap/>
            <w:vAlign w:val="center"/>
          </w:tcPr>
          <w:p w14:paraId="6E83D6B3">
            <w:pPr>
              <w:widowControl/>
              <w:jc w:val="center"/>
              <w:rPr>
                <w:rFonts w:hint="eastAsia" w:ascii="仿宋_GB2312" w:hAnsi="仿宋_GB2312" w:eastAsia="仿宋_GB2312" w:cs="仿宋_GB2312"/>
                <w:color w:val="000000"/>
                <w:kern w:val="0"/>
                <w:sz w:val="24"/>
                <w:szCs w:val="24"/>
              </w:rPr>
            </w:pPr>
          </w:p>
        </w:tc>
        <w:tc>
          <w:tcPr>
            <w:tcW w:w="918" w:type="pct"/>
            <w:noWrap/>
            <w:vAlign w:val="center"/>
          </w:tcPr>
          <w:p w14:paraId="7931EF51">
            <w:pPr>
              <w:widowControl/>
              <w:jc w:val="center"/>
              <w:rPr>
                <w:rFonts w:hint="eastAsia" w:ascii="仿宋_GB2312" w:hAnsi="仿宋_GB2312" w:eastAsia="仿宋_GB2312" w:cs="仿宋_GB2312"/>
                <w:color w:val="000000"/>
                <w:kern w:val="0"/>
                <w:sz w:val="24"/>
                <w:szCs w:val="24"/>
              </w:rPr>
            </w:pPr>
          </w:p>
        </w:tc>
        <w:tc>
          <w:tcPr>
            <w:tcW w:w="1137" w:type="pct"/>
            <w:vAlign w:val="center"/>
          </w:tcPr>
          <w:p w14:paraId="66443C24">
            <w:pPr>
              <w:widowControl/>
              <w:jc w:val="left"/>
              <w:rPr>
                <w:rFonts w:hint="eastAsia" w:ascii="仿宋_GB2312" w:hAnsi="仿宋_GB2312" w:eastAsia="仿宋_GB2312" w:cs="仿宋_GB2312"/>
                <w:color w:val="000000"/>
                <w:kern w:val="0"/>
                <w:sz w:val="24"/>
                <w:szCs w:val="24"/>
              </w:rPr>
            </w:pPr>
          </w:p>
        </w:tc>
        <w:tc>
          <w:tcPr>
            <w:tcW w:w="865" w:type="pct"/>
            <w:vAlign w:val="center"/>
          </w:tcPr>
          <w:p w14:paraId="26C5D4B7">
            <w:pPr>
              <w:widowControl/>
              <w:jc w:val="center"/>
              <w:rPr>
                <w:rFonts w:hint="eastAsia" w:ascii="仿宋_GB2312" w:hAnsi="仿宋_GB2312" w:eastAsia="仿宋_GB2312" w:cs="仿宋_GB2312"/>
                <w:color w:val="000000"/>
                <w:kern w:val="0"/>
                <w:sz w:val="24"/>
                <w:szCs w:val="24"/>
              </w:rPr>
            </w:pPr>
          </w:p>
        </w:tc>
        <w:tc>
          <w:tcPr>
            <w:tcW w:w="384" w:type="pct"/>
            <w:vAlign w:val="center"/>
          </w:tcPr>
          <w:p w14:paraId="7AD9F60B">
            <w:pPr>
              <w:widowControl/>
              <w:jc w:val="center"/>
              <w:rPr>
                <w:rFonts w:hint="eastAsia" w:ascii="仿宋_GB2312" w:hAnsi="仿宋_GB2312" w:eastAsia="仿宋_GB2312" w:cs="仿宋_GB2312"/>
                <w:color w:val="000000"/>
                <w:kern w:val="0"/>
                <w:sz w:val="24"/>
                <w:szCs w:val="24"/>
              </w:rPr>
            </w:pPr>
          </w:p>
        </w:tc>
      </w:tr>
      <w:tr w14:paraId="67996C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74" w:type="pct"/>
            <w:noWrap/>
            <w:vAlign w:val="center"/>
          </w:tcPr>
          <w:p w14:paraId="243B0C6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w:t>
            </w:r>
          </w:p>
        </w:tc>
        <w:tc>
          <w:tcPr>
            <w:tcW w:w="689" w:type="pct"/>
            <w:vMerge w:val="continue"/>
            <w:vAlign w:val="center"/>
          </w:tcPr>
          <w:p w14:paraId="698B41A7">
            <w:pPr>
              <w:widowControl/>
              <w:jc w:val="left"/>
              <w:rPr>
                <w:rFonts w:hint="eastAsia" w:ascii="仿宋_GB2312" w:hAnsi="仿宋_GB2312" w:eastAsia="仿宋_GB2312" w:cs="仿宋_GB2312"/>
                <w:color w:val="000000"/>
                <w:kern w:val="0"/>
                <w:sz w:val="24"/>
                <w:szCs w:val="24"/>
              </w:rPr>
            </w:pPr>
          </w:p>
        </w:tc>
        <w:tc>
          <w:tcPr>
            <w:tcW w:w="630" w:type="pct"/>
            <w:noWrap/>
            <w:vAlign w:val="center"/>
          </w:tcPr>
          <w:p w14:paraId="447B91E3">
            <w:pPr>
              <w:widowControl/>
              <w:jc w:val="center"/>
              <w:rPr>
                <w:rFonts w:hint="eastAsia" w:ascii="仿宋_GB2312" w:hAnsi="仿宋_GB2312" w:eastAsia="仿宋_GB2312" w:cs="仿宋_GB2312"/>
                <w:color w:val="000000"/>
                <w:kern w:val="0"/>
                <w:sz w:val="24"/>
                <w:szCs w:val="24"/>
              </w:rPr>
            </w:pPr>
          </w:p>
        </w:tc>
        <w:tc>
          <w:tcPr>
            <w:tcW w:w="918" w:type="pct"/>
            <w:noWrap/>
            <w:vAlign w:val="center"/>
          </w:tcPr>
          <w:p w14:paraId="44AFC3B2">
            <w:pPr>
              <w:widowControl/>
              <w:jc w:val="center"/>
              <w:rPr>
                <w:rFonts w:hint="eastAsia" w:ascii="仿宋_GB2312" w:hAnsi="仿宋_GB2312" w:eastAsia="仿宋_GB2312" w:cs="仿宋_GB2312"/>
                <w:color w:val="000000"/>
                <w:kern w:val="0"/>
                <w:sz w:val="24"/>
                <w:szCs w:val="24"/>
              </w:rPr>
            </w:pPr>
          </w:p>
        </w:tc>
        <w:tc>
          <w:tcPr>
            <w:tcW w:w="1137" w:type="pct"/>
            <w:vAlign w:val="center"/>
          </w:tcPr>
          <w:p w14:paraId="758EF644">
            <w:pPr>
              <w:widowControl/>
              <w:jc w:val="left"/>
              <w:rPr>
                <w:rFonts w:hint="eastAsia" w:ascii="仿宋_GB2312" w:hAnsi="仿宋_GB2312" w:eastAsia="仿宋_GB2312" w:cs="仿宋_GB2312"/>
                <w:color w:val="000000"/>
                <w:kern w:val="0"/>
                <w:sz w:val="24"/>
                <w:szCs w:val="24"/>
              </w:rPr>
            </w:pPr>
          </w:p>
        </w:tc>
        <w:tc>
          <w:tcPr>
            <w:tcW w:w="865" w:type="pct"/>
            <w:vAlign w:val="center"/>
          </w:tcPr>
          <w:p w14:paraId="65F72E99">
            <w:pPr>
              <w:widowControl/>
              <w:jc w:val="center"/>
              <w:rPr>
                <w:rFonts w:hint="eastAsia" w:ascii="仿宋_GB2312" w:hAnsi="仿宋_GB2312" w:eastAsia="仿宋_GB2312" w:cs="仿宋_GB2312"/>
                <w:sz w:val="24"/>
              </w:rPr>
            </w:pPr>
          </w:p>
        </w:tc>
        <w:tc>
          <w:tcPr>
            <w:tcW w:w="384" w:type="pct"/>
            <w:vAlign w:val="center"/>
          </w:tcPr>
          <w:p w14:paraId="4973D2E1">
            <w:pPr>
              <w:widowControl/>
              <w:jc w:val="center"/>
              <w:rPr>
                <w:rFonts w:hint="eastAsia" w:ascii="仿宋_GB2312" w:hAnsi="仿宋_GB2312" w:eastAsia="仿宋_GB2312" w:cs="仿宋_GB2312"/>
                <w:color w:val="000000"/>
                <w:kern w:val="0"/>
                <w:sz w:val="24"/>
                <w:szCs w:val="24"/>
              </w:rPr>
            </w:pPr>
          </w:p>
        </w:tc>
      </w:tr>
      <w:tr w14:paraId="1B4D7B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74" w:type="pct"/>
            <w:noWrap/>
            <w:vAlign w:val="center"/>
          </w:tcPr>
          <w:p w14:paraId="1E535DA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w:t>
            </w:r>
          </w:p>
        </w:tc>
        <w:tc>
          <w:tcPr>
            <w:tcW w:w="689" w:type="pct"/>
            <w:vMerge w:val="continue"/>
            <w:vAlign w:val="center"/>
          </w:tcPr>
          <w:p w14:paraId="7E5E3EA9">
            <w:pPr>
              <w:widowControl/>
              <w:jc w:val="left"/>
              <w:rPr>
                <w:rFonts w:hint="eastAsia" w:ascii="仿宋_GB2312" w:hAnsi="仿宋_GB2312" w:eastAsia="仿宋_GB2312" w:cs="仿宋_GB2312"/>
                <w:color w:val="000000"/>
                <w:kern w:val="0"/>
                <w:sz w:val="24"/>
                <w:szCs w:val="24"/>
              </w:rPr>
            </w:pPr>
          </w:p>
        </w:tc>
        <w:tc>
          <w:tcPr>
            <w:tcW w:w="630" w:type="pct"/>
            <w:noWrap/>
            <w:vAlign w:val="center"/>
          </w:tcPr>
          <w:p w14:paraId="4349BF66">
            <w:pPr>
              <w:widowControl/>
              <w:jc w:val="center"/>
              <w:rPr>
                <w:rFonts w:hint="eastAsia" w:ascii="仿宋_GB2312" w:hAnsi="仿宋_GB2312" w:eastAsia="仿宋_GB2312" w:cs="仿宋_GB2312"/>
                <w:color w:val="000000"/>
                <w:kern w:val="0"/>
                <w:sz w:val="24"/>
                <w:szCs w:val="24"/>
              </w:rPr>
            </w:pPr>
          </w:p>
        </w:tc>
        <w:tc>
          <w:tcPr>
            <w:tcW w:w="918" w:type="pct"/>
            <w:noWrap/>
            <w:vAlign w:val="center"/>
          </w:tcPr>
          <w:p w14:paraId="7CF6395C">
            <w:pPr>
              <w:widowControl/>
              <w:jc w:val="center"/>
              <w:rPr>
                <w:rFonts w:hint="eastAsia" w:ascii="仿宋_GB2312" w:hAnsi="仿宋_GB2312" w:eastAsia="仿宋_GB2312" w:cs="仿宋_GB2312"/>
                <w:color w:val="000000"/>
                <w:kern w:val="0"/>
                <w:sz w:val="24"/>
                <w:szCs w:val="24"/>
              </w:rPr>
            </w:pPr>
          </w:p>
        </w:tc>
        <w:tc>
          <w:tcPr>
            <w:tcW w:w="1137" w:type="pct"/>
            <w:vAlign w:val="center"/>
          </w:tcPr>
          <w:p w14:paraId="69AB41CE">
            <w:pPr>
              <w:widowControl/>
              <w:jc w:val="center"/>
              <w:rPr>
                <w:rFonts w:hint="eastAsia" w:ascii="仿宋_GB2312" w:hAnsi="仿宋_GB2312" w:eastAsia="仿宋_GB2312" w:cs="仿宋_GB2312"/>
                <w:color w:val="000000"/>
                <w:kern w:val="0"/>
                <w:sz w:val="24"/>
                <w:szCs w:val="24"/>
              </w:rPr>
            </w:pPr>
          </w:p>
        </w:tc>
        <w:tc>
          <w:tcPr>
            <w:tcW w:w="865" w:type="pct"/>
            <w:vAlign w:val="center"/>
          </w:tcPr>
          <w:p w14:paraId="71380A0C">
            <w:pPr>
              <w:pStyle w:val="2"/>
              <w:rPr>
                <w:rFonts w:hint="eastAsia" w:ascii="仿宋_GB2312" w:hAnsi="仿宋_GB2312" w:eastAsia="仿宋_GB2312" w:cs="仿宋_GB2312"/>
              </w:rPr>
            </w:pPr>
          </w:p>
        </w:tc>
        <w:tc>
          <w:tcPr>
            <w:tcW w:w="384" w:type="pct"/>
            <w:vAlign w:val="center"/>
          </w:tcPr>
          <w:p w14:paraId="0866D2B0">
            <w:pPr>
              <w:widowControl/>
              <w:jc w:val="center"/>
              <w:rPr>
                <w:rFonts w:hint="eastAsia" w:ascii="仿宋_GB2312" w:hAnsi="仿宋_GB2312" w:eastAsia="仿宋_GB2312" w:cs="仿宋_GB2312"/>
                <w:color w:val="000000"/>
                <w:kern w:val="0"/>
                <w:sz w:val="24"/>
                <w:szCs w:val="24"/>
              </w:rPr>
            </w:pPr>
          </w:p>
        </w:tc>
      </w:tr>
      <w:tr w14:paraId="69AD49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74" w:type="pct"/>
            <w:noWrap/>
            <w:vAlign w:val="center"/>
          </w:tcPr>
          <w:p w14:paraId="330B017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w:t>
            </w:r>
          </w:p>
        </w:tc>
        <w:tc>
          <w:tcPr>
            <w:tcW w:w="689" w:type="pct"/>
            <w:vMerge w:val="continue"/>
            <w:vAlign w:val="center"/>
          </w:tcPr>
          <w:p w14:paraId="07DAEEDC">
            <w:pPr>
              <w:widowControl/>
              <w:jc w:val="left"/>
              <w:rPr>
                <w:rFonts w:hint="eastAsia" w:ascii="仿宋_GB2312" w:hAnsi="仿宋_GB2312" w:eastAsia="仿宋_GB2312" w:cs="仿宋_GB2312"/>
                <w:color w:val="000000"/>
                <w:kern w:val="0"/>
                <w:sz w:val="24"/>
                <w:szCs w:val="24"/>
              </w:rPr>
            </w:pPr>
          </w:p>
        </w:tc>
        <w:tc>
          <w:tcPr>
            <w:tcW w:w="630" w:type="pct"/>
            <w:noWrap/>
            <w:vAlign w:val="center"/>
          </w:tcPr>
          <w:p w14:paraId="2DC9302A">
            <w:pPr>
              <w:widowControl/>
              <w:jc w:val="center"/>
              <w:rPr>
                <w:rFonts w:hint="eastAsia" w:ascii="仿宋_GB2312" w:hAnsi="仿宋_GB2312" w:eastAsia="仿宋_GB2312" w:cs="仿宋_GB2312"/>
                <w:color w:val="000000"/>
                <w:kern w:val="0"/>
                <w:sz w:val="24"/>
                <w:szCs w:val="24"/>
              </w:rPr>
            </w:pPr>
          </w:p>
        </w:tc>
        <w:tc>
          <w:tcPr>
            <w:tcW w:w="918" w:type="pct"/>
            <w:noWrap/>
            <w:vAlign w:val="center"/>
          </w:tcPr>
          <w:p w14:paraId="3FFD85CF">
            <w:pPr>
              <w:widowControl/>
              <w:jc w:val="center"/>
              <w:rPr>
                <w:rFonts w:hint="eastAsia" w:ascii="仿宋_GB2312" w:hAnsi="仿宋_GB2312" w:eastAsia="仿宋_GB2312" w:cs="仿宋_GB2312"/>
                <w:color w:val="000000"/>
                <w:kern w:val="0"/>
                <w:sz w:val="24"/>
                <w:szCs w:val="24"/>
              </w:rPr>
            </w:pPr>
          </w:p>
        </w:tc>
        <w:tc>
          <w:tcPr>
            <w:tcW w:w="1137" w:type="pct"/>
            <w:vAlign w:val="center"/>
          </w:tcPr>
          <w:p w14:paraId="78FAA060">
            <w:pPr>
              <w:widowControl/>
              <w:jc w:val="center"/>
              <w:rPr>
                <w:rFonts w:hint="eastAsia" w:ascii="仿宋_GB2312" w:hAnsi="仿宋_GB2312" w:eastAsia="仿宋_GB2312" w:cs="仿宋_GB2312"/>
                <w:color w:val="000000"/>
                <w:kern w:val="0"/>
                <w:sz w:val="24"/>
                <w:szCs w:val="24"/>
              </w:rPr>
            </w:pPr>
          </w:p>
        </w:tc>
        <w:tc>
          <w:tcPr>
            <w:tcW w:w="865" w:type="pct"/>
            <w:vAlign w:val="center"/>
          </w:tcPr>
          <w:p w14:paraId="74EA40EF">
            <w:pPr>
              <w:pStyle w:val="2"/>
              <w:rPr>
                <w:rFonts w:hint="eastAsia" w:ascii="仿宋_GB2312" w:hAnsi="仿宋_GB2312" w:eastAsia="仿宋_GB2312" w:cs="仿宋_GB2312"/>
              </w:rPr>
            </w:pPr>
          </w:p>
        </w:tc>
        <w:tc>
          <w:tcPr>
            <w:tcW w:w="384" w:type="pct"/>
            <w:vAlign w:val="center"/>
          </w:tcPr>
          <w:p w14:paraId="736D3885">
            <w:pPr>
              <w:widowControl/>
              <w:jc w:val="center"/>
              <w:rPr>
                <w:rFonts w:hint="eastAsia" w:ascii="仿宋_GB2312" w:hAnsi="仿宋_GB2312" w:eastAsia="仿宋_GB2312" w:cs="仿宋_GB2312"/>
                <w:color w:val="000000"/>
                <w:kern w:val="0"/>
                <w:sz w:val="24"/>
                <w:szCs w:val="24"/>
              </w:rPr>
            </w:pPr>
          </w:p>
        </w:tc>
      </w:tr>
    </w:tbl>
    <w:p w14:paraId="6AD7A5B9">
      <w:pPr>
        <w:rPr>
          <w:rFonts w:hint="eastAsia"/>
        </w:rPr>
      </w:pPr>
    </w:p>
    <w:p w14:paraId="6D93D37E">
      <w:pPr>
        <w:pStyle w:val="2"/>
        <w:rPr>
          <w:rFonts w:hint="eastAsia"/>
        </w:rPr>
      </w:pPr>
    </w:p>
    <w:p w14:paraId="55F76B84">
      <w:pPr>
        <w:pStyle w:val="2"/>
        <w:rPr>
          <w:rFonts w:hint="eastAsia"/>
        </w:rPr>
      </w:pPr>
    </w:p>
    <w:p w14:paraId="53626FC3">
      <w:pPr>
        <w:rPr>
          <w:rFonts w:hint="eastAsia"/>
        </w:rPr>
      </w:pPr>
      <w:r>
        <w:rPr>
          <w:rFonts w:hint="eastAsia"/>
        </w:rPr>
        <w:br w:type="page"/>
      </w:r>
    </w:p>
    <w:p w14:paraId="4F31DC54">
      <w:pPr>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rPr>
        <w:t>附件2：《乙方设备配置情况》</w:t>
      </w:r>
    </w:p>
    <w:tbl>
      <w:tblPr>
        <w:tblStyle w:val="14"/>
        <w:tblW w:w="5000" w:type="pct"/>
        <w:tblInd w:w="0" w:type="dxa"/>
        <w:tblLayout w:type="autofit"/>
        <w:tblCellMar>
          <w:top w:w="0" w:type="dxa"/>
          <w:left w:w="108" w:type="dxa"/>
          <w:bottom w:w="0" w:type="dxa"/>
          <w:right w:w="108" w:type="dxa"/>
        </w:tblCellMar>
      </w:tblPr>
      <w:tblGrid>
        <w:gridCol w:w="723"/>
        <w:gridCol w:w="2162"/>
        <w:gridCol w:w="1729"/>
        <w:gridCol w:w="2800"/>
        <w:gridCol w:w="1648"/>
      </w:tblGrid>
      <w:tr w14:paraId="3948F6F6">
        <w:tblPrEx>
          <w:tblCellMar>
            <w:top w:w="0" w:type="dxa"/>
            <w:left w:w="108" w:type="dxa"/>
            <w:bottom w:w="0" w:type="dxa"/>
            <w:right w:w="108" w:type="dxa"/>
          </w:tblCellMar>
        </w:tblPrEx>
        <w:trPr>
          <w:trHeight w:val="499" w:hRule="atLeast"/>
        </w:trPr>
        <w:tc>
          <w:tcPr>
            <w:tcW w:w="5000" w:type="pct"/>
            <w:gridSpan w:val="5"/>
            <w:tcBorders>
              <w:top w:val="nil"/>
              <w:left w:val="nil"/>
              <w:bottom w:val="single" w:color="auto" w:sz="4" w:space="0"/>
              <w:right w:val="nil"/>
            </w:tcBorders>
            <w:noWrap/>
            <w:vAlign w:val="center"/>
          </w:tcPr>
          <w:p w14:paraId="5D3B018E">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乙方设备配置情况</w:t>
            </w:r>
          </w:p>
        </w:tc>
      </w:tr>
      <w:tr w14:paraId="2F3D74C9">
        <w:tblPrEx>
          <w:tblCellMar>
            <w:top w:w="0" w:type="dxa"/>
            <w:left w:w="108" w:type="dxa"/>
            <w:bottom w:w="0" w:type="dxa"/>
            <w:right w:w="108" w:type="dxa"/>
          </w:tblCellMar>
        </w:tblPrEx>
        <w:trPr>
          <w:trHeight w:val="499" w:hRule="atLeast"/>
        </w:trPr>
        <w:tc>
          <w:tcPr>
            <w:tcW w:w="399" w:type="pct"/>
            <w:tcBorders>
              <w:top w:val="nil"/>
              <w:left w:val="single" w:color="auto" w:sz="4" w:space="0"/>
              <w:bottom w:val="single" w:color="auto" w:sz="4" w:space="0"/>
              <w:right w:val="single" w:color="auto" w:sz="4" w:space="0"/>
            </w:tcBorders>
            <w:noWrap/>
            <w:vAlign w:val="center"/>
          </w:tcPr>
          <w:p w14:paraId="31F63FB3">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序号</w:t>
            </w:r>
          </w:p>
        </w:tc>
        <w:tc>
          <w:tcPr>
            <w:tcW w:w="1193" w:type="pct"/>
            <w:tcBorders>
              <w:top w:val="nil"/>
              <w:left w:val="nil"/>
              <w:bottom w:val="single" w:color="auto" w:sz="4" w:space="0"/>
              <w:right w:val="single" w:color="auto" w:sz="4" w:space="0"/>
            </w:tcBorders>
            <w:vAlign w:val="center"/>
          </w:tcPr>
          <w:p w14:paraId="2850AB81">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项目名称</w:t>
            </w:r>
          </w:p>
        </w:tc>
        <w:tc>
          <w:tcPr>
            <w:tcW w:w="954" w:type="pct"/>
            <w:tcBorders>
              <w:top w:val="nil"/>
              <w:left w:val="nil"/>
              <w:bottom w:val="single" w:color="auto" w:sz="4" w:space="0"/>
              <w:right w:val="single" w:color="auto" w:sz="4" w:space="0"/>
            </w:tcBorders>
            <w:noWrap/>
            <w:vAlign w:val="center"/>
          </w:tcPr>
          <w:p w14:paraId="321EE969">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设备名称</w:t>
            </w:r>
          </w:p>
        </w:tc>
        <w:tc>
          <w:tcPr>
            <w:tcW w:w="1545" w:type="pct"/>
            <w:tcBorders>
              <w:top w:val="nil"/>
              <w:left w:val="nil"/>
              <w:bottom w:val="single" w:color="auto" w:sz="4" w:space="0"/>
              <w:right w:val="single" w:color="auto" w:sz="4" w:space="0"/>
            </w:tcBorders>
            <w:vAlign w:val="center"/>
          </w:tcPr>
          <w:p w14:paraId="2C3D05E6">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型号</w:t>
            </w:r>
          </w:p>
        </w:tc>
        <w:tc>
          <w:tcPr>
            <w:tcW w:w="908" w:type="pct"/>
            <w:tcBorders>
              <w:top w:val="nil"/>
              <w:left w:val="nil"/>
              <w:bottom w:val="single" w:color="auto" w:sz="4" w:space="0"/>
              <w:right w:val="single" w:color="auto" w:sz="4" w:space="0"/>
            </w:tcBorders>
            <w:noWrap/>
            <w:vAlign w:val="center"/>
          </w:tcPr>
          <w:p w14:paraId="76B97C67">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车牌号</w:t>
            </w:r>
          </w:p>
        </w:tc>
      </w:tr>
      <w:tr w14:paraId="71CDD626">
        <w:tblPrEx>
          <w:tblCellMar>
            <w:top w:w="0" w:type="dxa"/>
            <w:left w:w="108" w:type="dxa"/>
            <w:bottom w:w="0" w:type="dxa"/>
            <w:right w:w="108" w:type="dxa"/>
          </w:tblCellMar>
        </w:tblPrEx>
        <w:trPr>
          <w:trHeight w:val="499" w:hRule="atLeast"/>
        </w:trPr>
        <w:tc>
          <w:tcPr>
            <w:tcW w:w="399" w:type="pct"/>
            <w:tcBorders>
              <w:top w:val="nil"/>
              <w:left w:val="single" w:color="auto" w:sz="4" w:space="0"/>
              <w:bottom w:val="single" w:color="auto" w:sz="4" w:space="0"/>
              <w:right w:val="single" w:color="auto" w:sz="4" w:space="0"/>
            </w:tcBorders>
            <w:noWrap/>
            <w:vAlign w:val="center"/>
          </w:tcPr>
          <w:p w14:paraId="3A84974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193" w:type="pct"/>
            <w:vMerge w:val="restart"/>
            <w:tcBorders>
              <w:top w:val="nil"/>
              <w:left w:val="single" w:color="auto" w:sz="4" w:space="0"/>
              <w:bottom w:val="single" w:color="auto" w:sz="4" w:space="0"/>
              <w:right w:val="single" w:color="auto" w:sz="4" w:space="0"/>
            </w:tcBorders>
            <w:vAlign w:val="center"/>
          </w:tcPr>
          <w:p w14:paraId="5D82DEB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下围地块土地整备利益统筹项目</w:t>
            </w:r>
            <w:r>
              <w:rPr>
                <w:rFonts w:hint="eastAsia" w:ascii="仿宋_GB2312" w:hAnsi="仿宋_GB2312" w:eastAsia="仿宋_GB2312" w:cs="仿宋_GB2312"/>
                <w:color w:val="000000"/>
                <w:kern w:val="0"/>
                <w:sz w:val="24"/>
                <w:szCs w:val="24"/>
              </w:rPr>
              <w:t>评估督导</w:t>
            </w:r>
          </w:p>
        </w:tc>
        <w:tc>
          <w:tcPr>
            <w:tcW w:w="954" w:type="pct"/>
            <w:tcBorders>
              <w:top w:val="nil"/>
              <w:left w:val="nil"/>
              <w:bottom w:val="single" w:color="auto" w:sz="4" w:space="0"/>
              <w:right w:val="single" w:color="auto" w:sz="4" w:space="0"/>
            </w:tcBorders>
            <w:noWrap/>
            <w:vAlign w:val="center"/>
          </w:tcPr>
          <w:p w14:paraId="06458374">
            <w:pPr>
              <w:widowControl/>
              <w:jc w:val="center"/>
              <w:rPr>
                <w:rFonts w:hint="eastAsia" w:ascii="仿宋_GB2312" w:hAnsi="仿宋_GB2312" w:eastAsia="仿宋_GB2312" w:cs="仿宋_GB2312"/>
                <w:color w:val="000000"/>
                <w:kern w:val="0"/>
                <w:sz w:val="24"/>
                <w:szCs w:val="24"/>
              </w:rPr>
            </w:pPr>
          </w:p>
        </w:tc>
        <w:tc>
          <w:tcPr>
            <w:tcW w:w="1545" w:type="pct"/>
            <w:tcBorders>
              <w:top w:val="nil"/>
              <w:left w:val="nil"/>
              <w:bottom w:val="single" w:color="auto" w:sz="4" w:space="0"/>
              <w:right w:val="single" w:color="auto" w:sz="4" w:space="0"/>
            </w:tcBorders>
            <w:vAlign w:val="center"/>
          </w:tcPr>
          <w:p w14:paraId="6AE48C2F">
            <w:pPr>
              <w:widowControl/>
              <w:jc w:val="center"/>
              <w:rPr>
                <w:rFonts w:hint="eastAsia" w:ascii="仿宋_GB2312" w:hAnsi="仿宋_GB2312" w:eastAsia="仿宋_GB2312" w:cs="仿宋_GB2312"/>
                <w:color w:val="000000"/>
                <w:kern w:val="0"/>
                <w:sz w:val="24"/>
                <w:szCs w:val="24"/>
              </w:rPr>
            </w:pPr>
          </w:p>
        </w:tc>
        <w:tc>
          <w:tcPr>
            <w:tcW w:w="908" w:type="pct"/>
            <w:tcBorders>
              <w:top w:val="nil"/>
              <w:left w:val="nil"/>
              <w:bottom w:val="single" w:color="auto" w:sz="4" w:space="0"/>
              <w:right w:val="single" w:color="auto" w:sz="4" w:space="0"/>
            </w:tcBorders>
            <w:noWrap/>
            <w:vAlign w:val="center"/>
          </w:tcPr>
          <w:p w14:paraId="3140359A">
            <w:pPr>
              <w:widowControl/>
              <w:jc w:val="center"/>
              <w:rPr>
                <w:rFonts w:hint="eastAsia" w:ascii="仿宋_GB2312" w:hAnsi="仿宋_GB2312" w:eastAsia="仿宋_GB2312" w:cs="仿宋_GB2312"/>
                <w:color w:val="000000"/>
                <w:kern w:val="0"/>
                <w:sz w:val="24"/>
                <w:szCs w:val="24"/>
              </w:rPr>
            </w:pPr>
          </w:p>
        </w:tc>
      </w:tr>
      <w:tr w14:paraId="09B648C5">
        <w:tblPrEx>
          <w:tblCellMar>
            <w:top w:w="0" w:type="dxa"/>
            <w:left w:w="108" w:type="dxa"/>
            <w:bottom w:w="0" w:type="dxa"/>
            <w:right w:w="108" w:type="dxa"/>
          </w:tblCellMar>
        </w:tblPrEx>
        <w:trPr>
          <w:trHeight w:val="499" w:hRule="atLeast"/>
        </w:trPr>
        <w:tc>
          <w:tcPr>
            <w:tcW w:w="399" w:type="pct"/>
            <w:tcBorders>
              <w:top w:val="nil"/>
              <w:left w:val="single" w:color="auto" w:sz="4" w:space="0"/>
              <w:bottom w:val="single" w:color="auto" w:sz="4" w:space="0"/>
              <w:right w:val="single" w:color="auto" w:sz="4" w:space="0"/>
            </w:tcBorders>
            <w:noWrap/>
            <w:vAlign w:val="center"/>
          </w:tcPr>
          <w:p w14:paraId="0911203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1193" w:type="pct"/>
            <w:vMerge w:val="continue"/>
            <w:tcBorders>
              <w:top w:val="nil"/>
              <w:left w:val="single" w:color="auto" w:sz="4" w:space="0"/>
              <w:bottom w:val="single" w:color="auto" w:sz="4" w:space="0"/>
              <w:right w:val="single" w:color="auto" w:sz="4" w:space="0"/>
            </w:tcBorders>
            <w:vAlign w:val="center"/>
          </w:tcPr>
          <w:p w14:paraId="20B92E4A">
            <w:pPr>
              <w:widowControl/>
              <w:jc w:val="left"/>
              <w:rPr>
                <w:rFonts w:hint="eastAsia" w:ascii="仿宋_GB2312" w:hAnsi="仿宋_GB2312" w:eastAsia="仿宋_GB2312" w:cs="仿宋_GB2312"/>
                <w:color w:val="000000"/>
                <w:kern w:val="0"/>
                <w:sz w:val="24"/>
                <w:szCs w:val="24"/>
              </w:rPr>
            </w:pPr>
          </w:p>
        </w:tc>
        <w:tc>
          <w:tcPr>
            <w:tcW w:w="954" w:type="pct"/>
            <w:tcBorders>
              <w:top w:val="nil"/>
              <w:left w:val="nil"/>
              <w:bottom w:val="single" w:color="auto" w:sz="4" w:space="0"/>
              <w:right w:val="single" w:color="auto" w:sz="4" w:space="0"/>
            </w:tcBorders>
            <w:noWrap/>
            <w:vAlign w:val="center"/>
          </w:tcPr>
          <w:p w14:paraId="7DCB2480">
            <w:pPr>
              <w:widowControl/>
              <w:jc w:val="center"/>
              <w:rPr>
                <w:rFonts w:hint="eastAsia" w:ascii="仿宋_GB2312" w:hAnsi="仿宋_GB2312" w:eastAsia="仿宋_GB2312" w:cs="仿宋_GB2312"/>
                <w:color w:val="000000"/>
                <w:kern w:val="0"/>
                <w:sz w:val="24"/>
                <w:szCs w:val="24"/>
              </w:rPr>
            </w:pPr>
          </w:p>
        </w:tc>
        <w:tc>
          <w:tcPr>
            <w:tcW w:w="1545" w:type="pct"/>
            <w:tcBorders>
              <w:top w:val="nil"/>
              <w:left w:val="nil"/>
              <w:bottom w:val="single" w:color="auto" w:sz="4" w:space="0"/>
              <w:right w:val="single" w:color="auto" w:sz="4" w:space="0"/>
            </w:tcBorders>
            <w:vAlign w:val="center"/>
          </w:tcPr>
          <w:p w14:paraId="629E065A">
            <w:pPr>
              <w:widowControl/>
              <w:jc w:val="center"/>
              <w:rPr>
                <w:rFonts w:hint="eastAsia" w:ascii="仿宋_GB2312" w:hAnsi="仿宋_GB2312" w:eastAsia="仿宋_GB2312" w:cs="仿宋_GB2312"/>
                <w:color w:val="000000"/>
                <w:kern w:val="0"/>
                <w:sz w:val="24"/>
                <w:szCs w:val="24"/>
              </w:rPr>
            </w:pPr>
          </w:p>
        </w:tc>
        <w:tc>
          <w:tcPr>
            <w:tcW w:w="908" w:type="pct"/>
            <w:tcBorders>
              <w:top w:val="nil"/>
              <w:left w:val="nil"/>
              <w:bottom w:val="single" w:color="auto" w:sz="4" w:space="0"/>
              <w:right w:val="single" w:color="auto" w:sz="4" w:space="0"/>
            </w:tcBorders>
            <w:noWrap/>
            <w:vAlign w:val="center"/>
          </w:tcPr>
          <w:p w14:paraId="6BE17140">
            <w:pPr>
              <w:widowControl/>
              <w:jc w:val="center"/>
              <w:rPr>
                <w:rFonts w:hint="eastAsia" w:ascii="仿宋_GB2312" w:hAnsi="仿宋_GB2312" w:eastAsia="仿宋_GB2312" w:cs="仿宋_GB2312"/>
                <w:color w:val="000000"/>
                <w:kern w:val="0"/>
                <w:sz w:val="24"/>
                <w:szCs w:val="24"/>
              </w:rPr>
            </w:pPr>
          </w:p>
        </w:tc>
      </w:tr>
      <w:tr w14:paraId="2EE838E9">
        <w:tblPrEx>
          <w:tblCellMar>
            <w:top w:w="0" w:type="dxa"/>
            <w:left w:w="108" w:type="dxa"/>
            <w:bottom w:w="0" w:type="dxa"/>
            <w:right w:w="108" w:type="dxa"/>
          </w:tblCellMar>
        </w:tblPrEx>
        <w:trPr>
          <w:trHeight w:val="499" w:hRule="atLeast"/>
        </w:trPr>
        <w:tc>
          <w:tcPr>
            <w:tcW w:w="399" w:type="pct"/>
            <w:tcBorders>
              <w:top w:val="nil"/>
              <w:left w:val="single" w:color="auto" w:sz="4" w:space="0"/>
              <w:bottom w:val="single" w:color="auto" w:sz="4" w:space="0"/>
              <w:right w:val="single" w:color="auto" w:sz="4" w:space="0"/>
            </w:tcBorders>
            <w:noWrap/>
            <w:vAlign w:val="center"/>
          </w:tcPr>
          <w:p w14:paraId="2F179EE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1193" w:type="pct"/>
            <w:vMerge w:val="continue"/>
            <w:tcBorders>
              <w:top w:val="nil"/>
              <w:left w:val="single" w:color="auto" w:sz="4" w:space="0"/>
              <w:bottom w:val="single" w:color="auto" w:sz="4" w:space="0"/>
              <w:right w:val="single" w:color="auto" w:sz="4" w:space="0"/>
            </w:tcBorders>
            <w:vAlign w:val="center"/>
          </w:tcPr>
          <w:p w14:paraId="6FEAB241">
            <w:pPr>
              <w:widowControl/>
              <w:jc w:val="left"/>
              <w:rPr>
                <w:rFonts w:hint="eastAsia" w:ascii="仿宋_GB2312" w:hAnsi="仿宋_GB2312" w:eastAsia="仿宋_GB2312" w:cs="仿宋_GB2312"/>
                <w:color w:val="000000"/>
                <w:kern w:val="0"/>
                <w:sz w:val="24"/>
                <w:szCs w:val="24"/>
              </w:rPr>
            </w:pPr>
          </w:p>
        </w:tc>
        <w:tc>
          <w:tcPr>
            <w:tcW w:w="954" w:type="pct"/>
            <w:tcBorders>
              <w:top w:val="nil"/>
              <w:left w:val="nil"/>
              <w:bottom w:val="single" w:color="auto" w:sz="4" w:space="0"/>
              <w:right w:val="single" w:color="auto" w:sz="4" w:space="0"/>
            </w:tcBorders>
            <w:noWrap/>
            <w:vAlign w:val="center"/>
          </w:tcPr>
          <w:p w14:paraId="110637BF">
            <w:pPr>
              <w:widowControl/>
              <w:jc w:val="center"/>
              <w:rPr>
                <w:rFonts w:hint="eastAsia" w:ascii="仿宋_GB2312" w:hAnsi="仿宋_GB2312" w:eastAsia="仿宋_GB2312" w:cs="仿宋_GB2312"/>
                <w:color w:val="000000"/>
                <w:kern w:val="0"/>
                <w:sz w:val="24"/>
                <w:szCs w:val="24"/>
              </w:rPr>
            </w:pPr>
          </w:p>
        </w:tc>
        <w:tc>
          <w:tcPr>
            <w:tcW w:w="1545" w:type="pct"/>
            <w:tcBorders>
              <w:top w:val="nil"/>
              <w:left w:val="nil"/>
              <w:bottom w:val="single" w:color="auto" w:sz="4" w:space="0"/>
              <w:right w:val="single" w:color="auto" w:sz="4" w:space="0"/>
            </w:tcBorders>
            <w:vAlign w:val="center"/>
          </w:tcPr>
          <w:p w14:paraId="4FB809C2">
            <w:pPr>
              <w:widowControl/>
              <w:jc w:val="center"/>
              <w:rPr>
                <w:rFonts w:hint="eastAsia" w:ascii="仿宋_GB2312" w:hAnsi="仿宋_GB2312" w:eastAsia="仿宋_GB2312" w:cs="仿宋_GB2312"/>
                <w:color w:val="000000"/>
                <w:kern w:val="0"/>
                <w:sz w:val="24"/>
                <w:szCs w:val="24"/>
              </w:rPr>
            </w:pPr>
          </w:p>
        </w:tc>
        <w:tc>
          <w:tcPr>
            <w:tcW w:w="908" w:type="pct"/>
            <w:tcBorders>
              <w:top w:val="nil"/>
              <w:left w:val="nil"/>
              <w:bottom w:val="single" w:color="auto" w:sz="4" w:space="0"/>
              <w:right w:val="single" w:color="auto" w:sz="4" w:space="0"/>
            </w:tcBorders>
            <w:noWrap/>
            <w:vAlign w:val="center"/>
          </w:tcPr>
          <w:p w14:paraId="157636D7">
            <w:pPr>
              <w:widowControl/>
              <w:jc w:val="center"/>
              <w:rPr>
                <w:rFonts w:hint="eastAsia" w:ascii="仿宋_GB2312" w:hAnsi="仿宋_GB2312" w:eastAsia="仿宋_GB2312" w:cs="仿宋_GB2312"/>
                <w:color w:val="000000"/>
                <w:kern w:val="0"/>
                <w:sz w:val="24"/>
                <w:szCs w:val="24"/>
              </w:rPr>
            </w:pPr>
          </w:p>
        </w:tc>
      </w:tr>
      <w:tr w14:paraId="35529BF0">
        <w:tblPrEx>
          <w:tblCellMar>
            <w:top w:w="0" w:type="dxa"/>
            <w:left w:w="108" w:type="dxa"/>
            <w:bottom w:w="0" w:type="dxa"/>
            <w:right w:w="108" w:type="dxa"/>
          </w:tblCellMar>
        </w:tblPrEx>
        <w:trPr>
          <w:trHeight w:val="499" w:hRule="atLeast"/>
        </w:trPr>
        <w:tc>
          <w:tcPr>
            <w:tcW w:w="399" w:type="pct"/>
            <w:tcBorders>
              <w:top w:val="nil"/>
              <w:left w:val="single" w:color="auto" w:sz="4" w:space="0"/>
              <w:bottom w:val="single" w:color="auto" w:sz="4" w:space="0"/>
              <w:right w:val="single" w:color="auto" w:sz="4" w:space="0"/>
            </w:tcBorders>
            <w:noWrap/>
            <w:vAlign w:val="center"/>
          </w:tcPr>
          <w:p w14:paraId="0DE485F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1193" w:type="pct"/>
            <w:vMerge w:val="continue"/>
            <w:tcBorders>
              <w:top w:val="nil"/>
              <w:left w:val="single" w:color="auto" w:sz="4" w:space="0"/>
              <w:bottom w:val="single" w:color="auto" w:sz="4" w:space="0"/>
              <w:right w:val="single" w:color="auto" w:sz="4" w:space="0"/>
            </w:tcBorders>
            <w:vAlign w:val="center"/>
          </w:tcPr>
          <w:p w14:paraId="4BEE7A9A">
            <w:pPr>
              <w:widowControl/>
              <w:jc w:val="left"/>
              <w:rPr>
                <w:rFonts w:hint="eastAsia" w:ascii="仿宋_GB2312" w:hAnsi="仿宋_GB2312" w:eastAsia="仿宋_GB2312" w:cs="仿宋_GB2312"/>
                <w:color w:val="000000"/>
                <w:kern w:val="0"/>
                <w:sz w:val="24"/>
                <w:szCs w:val="24"/>
              </w:rPr>
            </w:pPr>
          </w:p>
        </w:tc>
        <w:tc>
          <w:tcPr>
            <w:tcW w:w="954" w:type="pct"/>
            <w:tcBorders>
              <w:top w:val="nil"/>
              <w:left w:val="nil"/>
              <w:bottom w:val="single" w:color="auto" w:sz="4" w:space="0"/>
              <w:right w:val="single" w:color="auto" w:sz="4" w:space="0"/>
            </w:tcBorders>
            <w:noWrap/>
            <w:vAlign w:val="center"/>
          </w:tcPr>
          <w:p w14:paraId="7C92B4D8">
            <w:pPr>
              <w:widowControl/>
              <w:jc w:val="center"/>
              <w:rPr>
                <w:rFonts w:hint="eastAsia" w:ascii="仿宋_GB2312" w:hAnsi="仿宋_GB2312" w:eastAsia="仿宋_GB2312" w:cs="仿宋_GB2312"/>
                <w:color w:val="000000"/>
                <w:kern w:val="0"/>
                <w:sz w:val="24"/>
                <w:szCs w:val="24"/>
              </w:rPr>
            </w:pPr>
          </w:p>
        </w:tc>
        <w:tc>
          <w:tcPr>
            <w:tcW w:w="1545" w:type="pct"/>
            <w:tcBorders>
              <w:top w:val="nil"/>
              <w:left w:val="nil"/>
              <w:bottom w:val="single" w:color="auto" w:sz="4" w:space="0"/>
              <w:right w:val="single" w:color="auto" w:sz="4" w:space="0"/>
            </w:tcBorders>
            <w:vAlign w:val="center"/>
          </w:tcPr>
          <w:p w14:paraId="40FA950F">
            <w:pPr>
              <w:widowControl/>
              <w:jc w:val="center"/>
              <w:rPr>
                <w:rFonts w:hint="eastAsia" w:ascii="仿宋_GB2312" w:hAnsi="仿宋_GB2312" w:eastAsia="仿宋_GB2312" w:cs="仿宋_GB2312"/>
                <w:color w:val="000000"/>
                <w:kern w:val="0"/>
                <w:sz w:val="24"/>
                <w:szCs w:val="24"/>
              </w:rPr>
            </w:pPr>
          </w:p>
        </w:tc>
        <w:tc>
          <w:tcPr>
            <w:tcW w:w="908" w:type="pct"/>
            <w:tcBorders>
              <w:top w:val="nil"/>
              <w:left w:val="nil"/>
              <w:bottom w:val="single" w:color="auto" w:sz="4" w:space="0"/>
              <w:right w:val="single" w:color="auto" w:sz="4" w:space="0"/>
            </w:tcBorders>
            <w:noWrap/>
            <w:vAlign w:val="center"/>
          </w:tcPr>
          <w:p w14:paraId="5443F359">
            <w:pPr>
              <w:widowControl/>
              <w:jc w:val="center"/>
              <w:rPr>
                <w:rFonts w:hint="eastAsia" w:ascii="仿宋_GB2312" w:hAnsi="仿宋_GB2312" w:eastAsia="仿宋_GB2312" w:cs="仿宋_GB2312"/>
                <w:color w:val="000000"/>
                <w:kern w:val="0"/>
                <w:sz w:val="24"/>
                <w:szCs w:val="24"/>
              </w:rPr>
            </w:pPr>
          </w:p>
        </w:tc>
      </w:tr>
    </w:tbl>
    <w:p w14:paraId="0B2054AA">
      <w:pPr>
        <w:rPr>
          <w:rFonts w:hint="eastAsia"/>
        </w:rPr>
      </w:pPr>
    </w:p>
    <w:p w14:paraId="5983657C"/>
    <w:sectPr>
      <w:footerReference r:id="rId3" w:type="default"/>
      <w:pgSz w:w="11907" w:h="16840"/>
      <w:pgMar w:top="2098" w:right="1474" w:bottom="1984" w:left="1587" w:header="851" w:footer="992" w:gutter="0"/>
      <w:pgBorders>
        <w:top w:val="none" w:sz="0" w:space="0"/>
        <w:left w:val="none" w:sz="0" w:space="0"/>
        <w:bottom w:val="none" w:sz="0" w:space="0"/>
        <w:right w:val="none" w:sz="0" w:space="0"/>
      </w:pgBorders>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 Yb 2gj">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3EF88">
    <w:pPr>
      <w:pStyle w:val="11"/>
      <w:framePr w:wrap="around" w:vAnchor="text" w:hAnchor="margin" w:xAlign="center" w:y="1"/>
      <w:rPr>
        <w:rStyle w:val="18"/>
        <w:rFonts w:hint="eastAsia"/>
      </w:rPr>
    </w:pPr>
    <w:r>
      <w:t xml:space="preserve">- </w:t>
    </w:r>
    <w:r>
      <w:fldChar w:fldCharType="begin"/>
    </w:r>
    <w:r>
      <w:instrText xml:space="preserve"> PAGE </w:instrText>
    </w:r>
    <w:r>
      <w:fldChar w:fldCharType="separate"/>
    </w:r>
    <w:r>
      <w:t>10</w:t>
    </w:r>
    <w:r>
      <w:fldChar w:fldCharType="end"/>
    </w:r>
    <w:r>
      <w:t xml:space="preserve"> -</w:t>
    </w:r>
  </w:p>
  <w:p w14:paraId="7284E9A8">
    <w:pPr>
      <w:pStyle w:val="11"/>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1ZGZkNjE1ZTIwYWI1Zjg3ODZiM2ZjOTMwZTkxNjQifQ=="/>
  </w:docVars>
  <w:rsids>
    <w:rsidRoot w:val="00000000"/>
    <w:rsid w:val="05E62952"/>
    <w:rsid w:val="08333DA9"/>
    <w:rsid w:val="10C56C04"/>
    <w:rsid w:val="306F230A"/>
    <w:rsid w:val="5C8C5E95"/>
    <w:rsid w:val="6B3D535B"/>
    <w:rsid w:val="73097297"/>
    <w:rsid w:val="7D7B2B67"/>
    <w:rsid w:val="7F900B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340" w:after="330" w:line="360" w:lineRule="auto"/>
      <w:jc w:val="center"/>
      <w:outlineLvl w:val="0"/>
    </w:pPr>
    <w:rPr>
      <w:rFonts w:ascii="Calibri" w:hAnsi="Calibri"/>
      <w:b/>
      <w:bCs/>
      <w:kern w:val="44"/>
      <w:sz w:val="44"/>
      <w:szCs w:val="44"/>
    </w:rPr>
  </w:style>
  <w:style w:type="paragraph" w:styleId="4">
    <w:name w:val="heading 2"/>
    <w:basedOn w:val="1"/>
    <w:next w:val="1"/>
    <w:qFormat/>
    <w:uiPriority w:val="0"/>
    <w:pPr>
      <w:adjustRightInd w:val="0"/>
      <w:jc w:val="center"/>
      <w:textAlignment w:val="baseline"/>
      <w:outlineLvl w:val="1"/>
    </w:pPr>
    <w:rPr>
      <w:rFonts w:ascii="宋体" w:hAnsi="宋体"/>
      <w:b/>
      <w:bCs/>
      <w:kern w:val="0"/>
      <w:sz w:val="24"/>
      <w:szCs w:val="20"/>
    </w:rPr>
  </w:style>
  <w:style w:type="paragraph" w:styleId="5">
    <w:name w:val="heading 3"/>
    <w:basedOn w:val="6"/>
    <w:next w:val="1"/>
    <w:qFormat/>
    <w:uiPriority w:val="0"/>
    <w:pPr>
      <w:spacing w:before="260" w:after="260" w:line="240" w:lineRule="auto"/>
      <w:outlineLvl w:val="2"/>
    </w:pPr>
    <w:rPr>
      <w:rFonts w:ascii="宋体" w:hAnsi="宋体" w:eastAsia="宋体"/>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qFormat/>
    <w:uiPriority w:val="0"/>
  </w:style>
  <w:style w:type="table" w:default="1" w:styleId="14">
    <w:name w:val="Normal Table"/>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7">
    <w:name w:val="Normal Indent"/>
    <w:basedOn w:val="1"/>
    <w:qFormat/>
    <w:uiPriority w:val="0"/>
    <w:pPr>
      <w:ind w:firstLine="420"/>
    </w:pPr>
    <w:rPr>
      <w:szCs w:val="20"/>
    </w:rPr>
  </w:style>
  <w:style w:type="paragraph" w:styleId="8">
    <w:name w:val="annotation text"/>
    <w:basedOn w:val="1"/>
    <w:qFormat/>
    <w:uiPriority w:val="0"/>
    <w:pPr>
      <w:autoSpaceDE w:val="0"/>
      <w:autoSpaceDN w:val="0"/>
      <w:adjustRightInd w:val="0"/>
      <w:jc w:val="left"/>
      <w:textAlignment w:val="baseline"/>
    </w:pPr>
    <w:rPr>
      <w:rFonts w:ascii="宋体"/>
      <w:kern w:val="0"/>
      <w:sz w:val="34"/>
      <w:szCs w:val="20"/>
    </w:rPr>
  </w:style>
  <w:style w:type="paragraph" w:styleId="9">
    <w:name w:val="Plain Text"/>
    <w:basedOn w:val="1"/>
    <w:qFormat/>
    <w:uiPriority w:val="0"/>
    <w:rPr>
      <w:rFonts w:ascii="宋体" w:hAnsi="Courier New" w:eastAsia="宋体" w:cs="Times New Roman"/>
      <w:szCs w:val="21"/>
    </w:rPr>
  </w:style>
  <w:style w:type="paragraph" w:styleId="10">
    <w:name w:val="Balloon Text"/>
    <w:basedOn w:val="1"/>
    <w:link w:val="32"/>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spacing w:before="100" w:beforeAutospacing="1" w:after="100" w:afterAutospacing="1"/>
      <w:ind w:left="0" w:right="0"/>
      <w:jc w:val="left"/>
    </w:pPr>
    <w:rPr>
      <w:kern w:val="0"/>
      <w:sz w:val="24"/>
      <w:lang w:val="en-US" w:eastAsia="zh-CN"/>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rPr>
  </w:style>
  <w:style w:type="character" w:styleId="18">
    <w:name w:val="page number"/>
    <w:qFormat/>
    <w:uiPriority w:val="0"/>
  </w:style>
  <w:style w:type="character" w:styleId="19">
    <w:name w:val="FollowedHyperlink"/>
    <w:qFormat/>
    <w:uiPriority w:val="0"/>
    <w:rPr>
      <w:rFonts w:ascii="微软雅黑" w:hAnsi="微软雅黑" w:eastAsia="微软雅黑" w:cs="微软雅黑"/>
      <w:color w:val="000000"/>
      <w:sz w:val="21"/>
      <w:szCs w:val="21"/>
      <w:u w:val="none"/>
    </w:rPr>
  </w:style>
  <w:style w:type="character" w:styleId="20">
    <w:name w:val="Hyperlink"/>
    <w:qFormat/>
    <w:uiPriority w:val="0"/>
    <w:rPr>
      <w:rFonts w:hint="eastAsia" w:ascii="微软雅黑" w:hAnsi="微软雅黑" w:eastAsia="微软雅黑" w:cs="微软雅黑"/>
      <w:color w:val="000000"/>
      <w:sz w:val="21"/>
      <w:szCs w:val="21"/>
      <w:u w:val="none"/>
    </w:rPr>
  </w:style>
  <w:style w:type="character" w:customStyle="1" w:styleId="21">
    <w:name w:val="标题 3 Char"/>
    <w:qFormat/>
    <w:uiPriority w:val="0"/>
    <w:rPr>
      <w:rFonts w:ascii="黑体" w:eastAsia="黑体"/>
      <w:bCs/>
      <w:sz w:val="30"/>
    </w:rPr>
  </w:style>
  <w:style w:type="paragraph" w:customStyle="1" w:styleId="22">
    <w:name w:val="PlainText"/>
    <w:basedOn w:val="1"/>
    <w:qFormat/>
    <w:uiPriority w:val="0"/>
    <w:pPr>
      <w:textAlignment w:val="baseline"/>
    </w:pPr>
    <w:rPr>
      <w:rFonts w:ascii="宋体" w:hAnsi="Calibri"/>
      <w:szCs w:val="21"/>
    </w:rPr>
  </w:style>
  <w:style w:type="paragraph" w:customStyle="1" w:styleId="23">
    <w:name w:val="表格文字"/>
    <w:basedOn w:val="1"/>
    <w:qFormat/>
    <w:uiPriority w:val="0"/>
    <w:pPr>
      <w:spacing w:before="25" w:after="25"/>
      <w:jc w:val="left"/>
    </w:pPr>
    <w:rPr>
      <w:spacing w:val="10"/>
      <w:kern w:val="0"/>
      <w:sz w:val="24"/>
    </w:rPr>
  </w:style>
  <w:style w:type="paragraph" w:customStyle="1" w:styleId="2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25">
    <w:name w:val="样式 左侧:  0 厘米 悬挂缩进: 2.5 字符"/>
    <w:basedOn w:val="1"/>
    <w:qFormat/>
    <w:uiPriority w:val="0"/>
    <w:pPr>
      <w:ind w:left="525" w:hanging="525" w:hangingChars="250"/>
    </w:pPr>
  </w:style>
  <w:style w:type="character" w:customStyle="1" w:styleId="26">
    <w:name w:val="not([class*=suffix])"/>
    <w:qFormat/>
    <w:uiPriority w:val="0"/>
  </w:style>
  <w:style w:type="character" w:customStyle="1" w:styleId="27">
    <w:name w:val="not([class*=suffix])1"/>
    <w:qFormat/>
    <w:uiPriority w:val="0"/>
    <w:rPr>
      <w:sz w:val="19"/>
      <w:szCs w:val="19"/>
    </w:rPr>
  </w:style>
  <w:style w:type="character" w:customStyle="1" w:styleId="28">
    <w:name w:val="nth-of-type(3)"/>
    <w:qFormat/>
    <w:uiPriority w:val="0"/>
    <w:rPr>
      <w:sz w:val="30"/>
      <w:szCs w:val="30"/>
    </w:rPr>
  </w:style>
  <w:style w:type="character" w:customStyle="1" w:styleId="29">
    <w:name w:val="nth-of-type(1)"/>
    <w:qFormat/>
    <w:uiPriority w:val="0"/>
  </w:style>
  <w:style w:type="character" w:customStyle="1" w:styleId="30">
    <w:name w:val="nth-of-type(1)1"/>
    <w:qFormat/>
    <w:uiPriority w:val="0"/>
  </w:style>
  <w:style w:type="character" w:customStyle="1" w:styleId="31">
    <w:name w:val="dg-flex-item2"/>
    <w:qFormat/>
    <w:uiPriority w:val="0"/>
    <w:rPr>
      <w:bdr w:val="single" w:color="ECECEC" w:sz="6" w:space="0"/>
    </w:rPr>
  </w:style>
  <w:style w:type="character" w:customStyle="1" w:styleId="32">
    <w:name w:val="批注框文本 Char"/>
    <w:link w:val="10"/>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18</Pages>
  <Words>7256</Words>
  <Characters>7449</Characters>
  <Paragraphs>403</Paragraphs>
  <TotalTime>34</TotalTime>
  <ScaleCrop>false</ScaleCrop>
  <LinksUpToDate>false</LinksUpToDate>
  <CharactersWithSpaces>7614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2021-11-25T04:32:00Z</dcterms:created>
  <dc:creator>Administrator</dc:creator>
  <cp:lastModifiedBy>11111</cp:lastModifiedBy>
  <cp:lastPrinted>2023-04-21T02:00:00Z</cp:lastPrinted>
  <dcterms:modified xsi:type="dcterms:W3CDTF">2025-01-13T06:41:00Z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CBC925A0FC4F4F818748B477F9F30EF3</vt:lpwstr>
  </property>
  <property fmtid="{D5CDD505-2E9C-101B-9397-08002B2CF9AE}" pid="4" name="KSOTemplateDocerSaveRecord">
    <vt:lpwstr>eyJoZGlkIjoiNGEyZmY2YmY0MmEzZTFkOTQ3OGUzYmNkMzE5Y2M3M2YiLCJ1c2VySWQiOiI0MzYyOTA0OTkifQ==</vt:lpwstr>
  </property>
</Properties>
</file>