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76AC">
      <w:pPr>
        <w:spacing w:line="360" w:lineRule="auto"/>
        <w:jc w:val="center"/>
        <w:rPr>
          <w:rFonts w:ascii="仿宋" w:hAnsi="仿宋" w:eastAsia="仿宋" w:cs="仿宋"/>
          <w:b/>
          <w:bCs/>
          <w:sz w:val="52"/>
          <w:szCs w:val="52"/>
        </w:rPr>
      </w:pPr>
    </w:p>
    <w:p w14:paraId="33DA634D">
      <w:pPr>
        <w:snapToGrid w:val="0"/>
        <w:spacing w:line="240" w:lineRule="auto"/>
        <w:jc w:val="center"/>
        <w:rPr>
          <w:rFonts w:hint="eastAsia" w:ascii="方正小标宋简体" w:hAnsi="方正小标宋简体" w:eastAsia="方正小标宋简体" w:cs="方正小标宋简体"/>
          <w:b w:val="0"/>
          <w:bCs/>
          <w:snapToGrid w:val="0"/>
          <w:sz w:val="44"/>
          <w:szCs w:val="44"/>
          <w:lang w:eastAsia="zh-CN"/>
        </w:rPr>
      </w:pPr>
      <w:r>
        <w:rPr>
          <w:rFonts w:hint="eastAsia" w:ascii="方正小标宋简体" w:hAnsi="方正小标宋简体" w:eastAsia="方正小标宋简体" w:cs="方正小标宋简体"/>
          <w:b w:val="0"/>
          <w:bCs/>
          <w:snapToGrid w:val="0"/>
          <w:sz w:val="44"/>
          <w:szCs w:val="44"/>
          <w:lang w:eastAsia="zh-CN"/>
        </w:rPr>
        <w:t>下围地块土地整备利益统筹项目</w:t>
      </w:r>
    </w:p>
    <w:p w14:paraId="337E2528">
      <w:pPr>
        <w:snapToGrid w:val="0"/>
        <w:spacing w:line="240" w:lineRule="auto"/>
        <w:jc w:val="center"/>
        <w:rPr>
          <w:rFonts w:ascii="仿宋" w:hAnsi="仿宋" w:eastAsia="仿宋" w:cs="仿宋"/>
          <w:b/>
          <w:bCs/>
          <w:sz w:val="52"/>
          <w:szCs w:val="52"/>
        </w:rPr>
      </w:pPr>
      <w:r>
        <w:rPr>
          <w:rFonts w:hint="eastAsia" w:ascii="方正小标宋简体" w:hAnsi="方正小标宋简体" w:eastAsia="方正小标宋简体" w:cs="方正小标宋简体"/>
          <w:b w:val="0"/>
          <w:bCs/>
          <w:snapToGrid w:val="0"/>
          <w:sz w:val="44"/>
          <w:szCs w:val="44"/>
        </w:rPr>
        <w:t>评估服务合同</w:t>
      </w:r>
    </w:p>
    <w:p w14:paraId="6AFD4E16">
      <w:pPr>
        <w:pStyle w:val="2"/>
      </w:pPr>
      <w:r>
        <w:rPr>
          <w:rFonts w:hint="eastAsia"/>
        </w:rPr>
        <w:t xml:space="preserve"> </w:t>
      </w:r>
    </w:p>
    <w:p w14:paraId="31212843"/>
    <w:p w14:paraId="0C4959C7">
      <w:pPr>
        <w:spacing w:line="560" w:lineRule="exact"/>
        <w:ind w:firstLine="0" w:firstLineChars="0"/>
        <w:jc w:val="center"/>
        <w:rPr>
          <w:rFonts w:hint="eastAsia" w:ascii="方正小标宋简体" w:hAnsi="方正小标宋简体" w:eastAsia="方正小标宋简体" w:cs="方正小标宋简体"/>
          <w:b w:val="0"/>
          <w:bCs w:val="0"/>
          <w:sz w:val="32"/>
          <w:szCs w:val="32"/>
          <w:u w:val="single"/>
        </w:rPr>
      </w:pPr>
      <w:r>
        <w:rPr>
          <w:rFonts w:hint="eastAsia" w:ascii="方正小标宋简体" w:hAnsi="方正小标宋简体" w:eastAsia="方正小标宋简体" w:cs="方正小标宋简体"/>
          <w:b w:val="0"/>
          <w:bCs w:val="0"/>
          <w:sz w:val="32"/>
          <w:szCs w:val="32"/>
        </w:rPr>
        <w:t>合同编号：</w:t>
      </w:r>
    </w:p>
    <w:p w14:paraId="49BF0B37"/>
    <w:p w14:paraId="62657CD0">
      <w:pPr>
        <w:pStyle w:val="2"/>
      </w:pPr>
    </w:p>
    <w:p w14:paraId="14DA1C63"/>
    <w:p w14:paraId="791706CD">
      <w:pPr>
        <w:spacing w:line="360" w:lineRule="auto"/>
        <w:rPr>
          <w:rFonts w:ascii="仿宋" w:hAnsi="仿宋" w:eastAsia="仿宋" w:cs="仿宋"/>
          <w:b/>
          <w:bCs/>
          <w:sz w:val="28"/>
          <w:szCs w:val="28"/>
        </w:rPr>
      </w:pPr>
    </w:p>
    <w:p w14:paraId="3D1EB5FB">
      <w:pPr>
        <w:pStyle w:val="2"/>
      </w:pPr>
    </w:p>
    <w:p w14:paraId="7D9CE32E">
      <w:pPr>
        <w:pStyle w:val="2"/>
        <w:rPr>
          <w:rFonts w:ascii="仿宋" w:hAnsi="仿宋" w:eastAsia="仿宋" w:cs="仿宋"/>
          <w:sz w:val="28"/>
          <w:szCs w:val="28"/>
        </w:rPr>
      </w:pPr>
    </w:p>
    <w:p w14:paraId="0A8FE320">
      <w:pPr>
        <w:rPr>
          <w:rFonts w:ascii="仿宋" w:hAnsi="仿宋" w:eastAsia="仿宋" w:cs="仿宋"/>
          <w:sz w:val="28"/>
          <w:szCs w:val="28"/>
        </w:rPr>
      </w:pPr>
    </w:p>
    <w:p w14:paraId="7F3880C4">
      <w:pPr>
        <w:pStyle w:val="2"/>
        <w:rPr>
          <w:rFonts w:ascii="仿宋" w:hAnsi="仿宋" w:eastAsia="仿宋" w:cs="仿宋"/>
          <w:sz w:val="28"/>
          <w:szCs w:val="28"/>
        </w:rPr>
      </w:pPr>
    </w:p>
    <w:p w14:paraId="3072B6BC">
      <w:pPr>
        <w:rPr>
          <w:rFonts w:ascii="仿宋" w:hAnsi="仿宋" w:eastAsia="仿宋" w:cs="仿宋"/>
          <w:sz w:val="28"/>
          <w:szCs w:val="28"/>
        </w:rPr>
      </w:pPr>
    </w:p>
    <w:p w14:paraId="357629B3">
      <w:pPr>
        <w:pStyle w:val="2"/>
        <w:spacing w:line="720" w:lineRule="auto"/>
        <w:ind w:right="-813" w:rightChars="-387"/>
        <w:rPr>
          <w:sz w:val="32"/>
          <w:szCs w:val="32"/>
        </w:rPr>
      </w:pPr>
      <w:r>
        <w:rPr>
          <w:rFonts w:hint="eastAsia" w:ascii="仿宋_GB2312" w:hAnsi="仿宋_GB2312" w:eastAsia="仿宋_GB2312" w:cs="仿宋_GB2312"/>
          <w:b w:val="0"/>
          <w:sz w:val="32"/>
          <w:szCs w:val="32"/>
        </w:rPr>
        <w:t>项目名称：</w:t>
      </w:r>
      <w:r>
        <w:rPr>
          <w:rFonts w:hint="eastAsia" w:ascii="仿宋_GB2312" w:hAnsi="仿宋_GB2312" w:eastAsia="仿宋_GB2312" w:cs="仿宋_GB2312"/>
          <w:b w:val="0"/>
          <w:sz w:val="32"/>
          <w:szCs w:val="32"/>
          <w:u w:val="single"/>
          <w:lang w:eastAsia="zh-CN"/>
        </w:rPr>
        <w:t>下围地块土地整备利益统筹项目</w:t>
      </w:r>
      <w:r>
        <w:rPr>
          <w:rFonts w:hint="eastAsia" w:ascii="仿宋_GB2312" w:hAnsi="仿宋_GB2312" w:eastAsia="仿宋_GB2312" w:cs="仿宋_GB2312"/>
          <w:b w:val="0"/>
          <w:sz w:val="32"/>
          <w:szCs w:val="32"/>
          <w:u w:val="single"/>
        </w:rPr>
        <w:t>评估服务</w:t>
      </w:r>
    </w:p>
    <w:p w14:paraId="6F19055E">
      <w:pPr>
        <w:pStyle w:val="2"/>
        <w:spacing w:line="720"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甲方：</w:t>
      </w:r>
      <w:r>
        <w:rPr>
          <w:rFonts w:hint="eastAsia" w:ascii="仿宋_GB2312" w:hAnsi="仿宋_GB2312" w:eastAsia="仿宋_GB2312" w:cs="仿宋_GB2312"/>
          <w:b w:val="0"/>
          <w:bCs w:val="0"/>
          <w:sz w:val="32"/>
          <w:szCs w:val="32"/>
          <w:u w:val="single"/>
        </w:rPr>
        <w:t xml:space="preserve">深圳市新龙观投资发展有限公司 </w:t>
      </w:r>
    </w:p>
    <w:p w14:paraId="0B30F0AA">
      <w:pPr>
        <w:spacing w:line="720" w:lineRule="auto"/>
        <w:ind w:left="2891" w:hanging="2880" w:hangingChars="9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乙方：</w:t>
      </w:r>
      <w:r>
        <w:rPr>
          <w:rFonts w:hint="eastAsia" w:ascii="仿宋_GB2312" w:hAnsi="仿宋_GB2312" w:eastAsia="仿宋_GB2312" w:cs="仿宋_GB2312"/>
          <w:b w:val="0"/>
          <w:bCs w:val="0"/>
          <w:sz w:val="32"/>
          <w:szCs w:val="32"/>
          <w:u w:val="single"/>
          <w:lang w:eastAsia="zh-CN"/>
        </w:rPr>
        <w:t>XXX</w:t>
      </w:r>
      <w:r>
        <w:rPr>
          <w:rFonts w:hint="eastAsia" w:ascii="仿宋_GB2312" w:hAnsi="仿宋_GB2312" w:eastAsia="仿宋_GB2312" w:cs="仿宋_GB2312"/>
          <w:b w:val="0"/>
          <w:bCs w:val="0"/>
          <w:sz w:val="32"/>
          <w:szCs w:val="32"/>
          <w:u w:val="single"/>
        </w:rPr>
        <w:t>公司</w:t>
      </w:r>
    </w:p>
    <w:p w14:paraId="1E668466">
      <w:pPr>
        <w:pStyle w:val="2"/>
        <w:spacing w:line="720" w:lineRule="auto"/>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签订日期：</w:t>
      </w:r>
      <w:r>
        <w:rPr>
          <w:rFonts w:hint="eastAsia" w:ascii="仿宋_GB2312" w:hAnsi="仿宋_GB2312" w:eastAsia="仿宋_GB2312" w:cs="仿宋_GB2312"/>
          <w:b w:val="0"/>
          <w:bCs w:val="0"/>
          <w:sz w:val="32"/>
          <w:szCs w:val="32"/>
          <w:u w:val="single"/>
          <w:lang w:eastAsia="zh-CN"/>
        </w:rPr>
        <w:t>2025</w:t>
      </w:r>
      <w:r>
        <w:rPr>
          <w:rFonts w:hint="eastAsia" w:ascii="仿宋_GB2312" w:hAnsi="仿宋_GB2312" w:eastAsia="仿宋_GB2312" w:cs="仿宋_GB2312"/>
          <w:b w:val="0"/>
          <w:bCs w:val="0"/>
          <w:sz w:val="32"/>
          <w:szCs w:val="32"/>
          <w:u w:val="single"/>
        </w:rPr>
        <w:t xml:space="preserve"> 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月    日</w:t>
      </w:r>
    </w:p>
    <w:p w14:paraId="58355C11">
      <w:pPr>
        <w:jc w:val="left"/>
        <w:rPr>
          <w:rFonts w:ascii="仿宋" w:hAnsi="仿宋" w:eastAsia="仿宋" w:cs="仿宋"/>
          <w:b/>
          <w:bCs/>
          <w:sz w:val="40"/>
          <w:szCs w:val="48"/>
        </w:rPr>
      </w:pPr>
      <w:r>
        <w:rPr>
          <w:rFonts w:hint="eastAsia" w:ascii="仿宋" w:hAnsi="仿宋" w:eastAsia="仿宋" w:cs="仿宋"/>
          <w:b/>
          <w:bCs/>
          <w:sz w:val="40"/>
          <w:szCs w:val="48"/>
        </w:rPr>
        <w:br w:type="page"/>
      </w:r>
    </w:p>
    <w:p w14:paraId="64D4020A">
      <w:pPr>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下围地块土地整备利益统筹项目</w:t>
      </w:r>
    </w:p>
    <w:p w14:paraId="30DD3E9A">
      <w:pPr>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评估服务合同</w:t>
      </w:r>
    </w:p>
    <w:p w14:paraId="3824C81C"/>
    <w:p w14:paraId="67B087A1">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委托方（甲方）：深圳市新龙观投资发展有限公司</w:t>
      </w:r>
    </w:p>
    <w:p w14:paraId="350397EA">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法人代表：刘晓迎</w:t>
      </w:r>
    </w:p>
    <w:p w14:paraId="322EC183">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地址：深圳市龙华区观湖街道鹭湖社区观盛三路10号龙馨家园A栋2101</w:t>
      </w:r>
    </w:p>
    <w:p w14:paraId="17FA2D3D">
      <w:pPr>
        <w:spacing w:line="560" w:lineRule="exact"/>
        <w:ind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高工</w:t>
      </w:r>
    </w:p>
    <w:p w14:paraId="6BC685C5">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联系电话：0755-29809916</w:t>
      </w:r>
    </w:p>
    <w:p w14:paraId="1E831F21">
      <w:pPr>
        <w:spacing w:line="560" w:lineRule="exact"/>
        <w:ind w:firstLine="560" w:firstLineChars="200"/>
        <w:rPr>
          <w:rFonts w:hint="eastAsia" w:ascii="仿宋_GB2312" w:hAnsi="仿宋_GB2312" w:eastAsia="仿宋_GB2312" w:cs="仿宋_GB2312"/>
          <w:sz w:val="28"/>
          <w:szCs w:val="28"/>
        </w:rPr>
      </w:pPr>
    </w:p>
    <w:p w14:paraId="14C01EF6">
      <w:pPr>
        <w:spacing w:line="560" w:lineRule="exac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受托方(乙方)：</w:t>
      </w:r>
      <w:r>
        <w:rPr>
          <w:rFonts w:hint="eastAsia" w:ascii="仿宋_GB2312" w:hAnsi="仿宋_GB2312" w:eastAsia="仿宋_GB2312" w:cs="仿宋_GB2312"/>
          <w:sz w:val="28"/>
          <w:szCs w:val="28"/>
          <w:lang w:eastAsia="zh-CN"/>
        </w:rPr>
        <w:t>XXX</w:t>
      </w:r>
      <w:r>
        <w:rPr>
          <w:rFonts w:hint="eastAsia" w:ascii="仿宋_GB2312" w:hAnsi="仿宋_GB2312" w:eastAsia="仿宋_GB2312" w:cs="仿宋_GB2312"/>
          <w:sz w:val="28"/>
          <w:szCs w:val="28"/>
        </w:rPr>
        <w:t>公司</w:t>
      </w:r>
    </w:p>
    <w:p w14:paraId="5EFF5B6A">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14:paraId="4536DC82">
      <w:pPr>
        <w:spacing w:line="560" w:lineRule="exact"/>
        <w:ind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lang w:val="en-US" w:eastAsia="zh-CN"/>
        </w:rPr>
        <w:t xml:space="preserve">     </w:t>
      </w:r>
      <w:bookmarkStart w:id="0" w:name="_GoBack"/>
      <w:bookmarkEnd w:id="0"/>
    </w:p>
    <w:p w14:paraId="7B41D26A">
      <w:pPr>
        <w:spacing w:line="560" w:lineRule="exact"/>
        <w:ind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bidi="ar"/>
        </w:rPr>
        <w:t xml:space="preserve">   </w:t>
      </w:r>
    </w:p>
    <w:p w14:paraId="40A43A2B">
      <w:pPr>
        <w:spacing w:line="56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14:paraId="54DC73E6">
      <w:pPr>
        <w:spacing w:line="560" w:lineRule="exact"/>
        <w:rPr>
          <w:rFonts w:hint="eastAsia" w:ascii="仿宋_GB2312" w:hAnsi="仿宋_GB2312" w:eastAsia="仿宋_GB2312" w:cs="仿宋_GB2312"/>
          <w:sz w:val="28"/>
          <w:szCs w:val="28"/>
        </w:rPr>
      </w:pPr>
    </w:p>
    <w:p w14:paraId="427F6C8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根据下围地块土地整备利益统筹项目评估服务的</w:t>
      </w:r>
      <w:r>
        <w:rPr>
          <w:rFonts w:hint="eastAsia" w:ascii="仿宋_GB2312" w:hAnsi="仿宋_GB2312" w:eastAsia="仿宋_GB2312" w:cs="仿宋_GB2312"/>
          <w:sz w:val="28"/>
          <w:szCs w:val="28"/>
          <w:lang w:val="en-US" w:eastAsia="zh-CN"/>
        </w:rPr>
        <w:t>遴选</w:t>
      </w:r>
      <w:r>
        <w:rPr>
          <w:rFonts w:hint="eastAsia" w:ascii="仿宋_GB2312" w:hAnsi="仿宋_GB2312" w:eastAsia="仿宋_GB2312" w:cs="仿宋_GB2312"/>
          <w:sz w:val="28"/>
          <w:szCs w:val="28"/>
        </w:rPr>
        <w:t>结果，确定由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XXX</w:t>
      </w:r>
      <w:r>
        <w:rPr>
          <w:rFonts w:hint="eastAsia" w:ascii="仿宋_GB2312" w:hAnsi="仿宋_GB2312" w:eastAsia="仿宋_GB2312" w:cs="仿宋_GB2312"/>
          <w:sz w:val="28"/>
          <w:szCs w:val="28"/>
          <w:u w:val="single"/>
        </w:rPr>
        <w:t xml:space="preserve">公司 </w:t>
      </w:r>
      <w:r>
        <w:rPr>
          <w:rFonts w:hint="eastAsia" w:ascii="仿宋_GB2312" w:hAnsi="仿宋_GB2312" w:eastAsia="仿宋_GB2312" w:cs="仿宋_GB2312"/>
          <w:sz w:val="28"/>
          <w:szCs w:val="28"/>
        </w:rPr>
        <w:t>为中标方。根据《中华人民共和国民法典》，参照《深圳经济特区政府采购条例》等相关法律法规的规定，经</w:t>
      </w:r>
      <w:r>
        <w:rPr>
          <w:rFonts w:hint="eastAsia" w:ascii="仿宋_GB2312" w:hAnsi="仿宋_GB2312" w:eastAsia="仿宋_GB2312" w:cs="仿宋_GB2312"/>
          <w:sz w:val="28"/>
          <w:szCs w:val="28"/>
          <w:u w:val="single"/>
        </w:rPr>
        <w:t xml:space="preserve"> 深圳市新龙观投资发展有限公司 </w:t>
      </w:r>
      <w:r>
        <w:rPr>
          <w:rFonts w:hint="eastAsia" w:ascii="仿宋_GB2312" w:hAnsi="仿宋_GB2312" w:eastAsia="仿宋_GB2312" w:cs="仿宋_GB2312"/>
          <w:sz w:val="28"/>
          <w:szCs w:val="28"/>
        </w:rPr>
        <w:t>（以下简称“甲方”）和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XXX</w:t>
      </w:r>
      <w:r>
        <w:rPr>
          <w:rFonts w:hint="eastAsia" w:ascii="仿宋_GB2312" w:hAnsi="仿宋_GB2312" w:eastAsia="仿宋_GB2312" w:cs="仿宋_GB2312"/>
          <w:sz w:val="28"/>
          <w:szCs w:val="28"/>
          <w:u w:val="single"/>
        </w:rPr>
        <w:t xml:space="preserve">公司 </w:t>
      </w:r>
      <w:r>
        <w:rPr>
          <w:rFonts w:hint="eastAsia" w:ascii="仿宋_GB2312" w:hAnsi="仿宋_GB2312" w:eastAsia="仿宋_GB2312" w:cs="仿宋_GB2312"/>
          <w:sz w:val="28"/>
          <w:szCs w:val="28"/>
        </w:rPr>
        <w:t>（以下简称“乙方”）友好协商，就甲方委托乙方承担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napToGrid w:val="0"/>
          <w:kern w:val="0"/>
          <w:sz w:val="28"/>
          <w:szCs w:val="28"/>
          <w:u w:val="single"/>
          <w:lang w:val="zh-CN"/>
        </w:rPr>
        <w:t>下围地块土地整备利益统筹项目评估服务</w:t>
      </w:r>
      <w:r>
        <w:rPr>
          <w:rFonts w:hint="eastAsia" w:ascii="仿宋_GB2312" w:hAnsi="仿宋_GB2312" w:eastAsia="仿宋_GB2312" w:cs="仿宋_GB2312"/>
          <w:sz w:val="28"/>
          <w:szCs w:val="28"/>
        </w:rPr>
        <w:t>，达成以下合同条款：</w:t>
      </w:r>
    </w:p>
    <w:p w14:paraId="5405FD68">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项目概况</w:t>
      </w:r>
    </w:p>
    <w:p w14:paraId="476E8A40">
      <w:pPr>
        <w:spacing w:line="560" w:lineRule="exact"/>
        <w:ind w:firstLine="562" w:firstLineChars="200"/>
        <w:rPr>
          <w:rFonts w:hint="default" w:ascii="仿宋_GB2312" w:hAnsi="仿宋_GB2312" w:eastAsia="仿宋_GB2312" w:cs="仿宋_GB2312"/>
          <w:sz w:val="28"/>
          <w:szCs w:val="28"/>
        </w:rPr>
      </w:pPr>
      <w:r>
        <w:rPr>
          <w:rFonts w:hint="eastAsia" w:ascii="仿宋_GB2312" w:hAnsi="仿宋_GB2312" w:eastAsia="仿宋_GB2312" w:cs="仿宋_GB2312"/>
          <w:b/>
          <w:bCs/>
          <w:sz w:val="28"/>
          <w:szCs w:val="28"/>
        </w:rPr>
        <w:t>1、项目名称：</w:t>
      </w:r>
      <w:r>
        <w:rPr>
          <w:rFonts w:hint="eastAsia" w:ascii="仿宋_GB2312" w:hAnsi="仿宋_GB2312" w:eastAsia="仿宋_GB2312" w:cs="仿宋_GB2312"/>
          <w:sz w:val="28"/>
          <w:szCs w:val="28"/>
          <w:lang w:eastAsia="zh-CN"/>
        </w:rPr>
        <w:t>下围地块土地整备利益统筹项目</w:t>
      </w:r>
      <w:r>
        <w:rPr>
          <w:rFonts w:hint="eastAsia" w:ascii="仿宋_GB2312" w:hAnsi="仿宋_GB2312" w:eastAsia="仿宋_GB2312" w:cs="仿宋_GB2312"/>
          <w:sz w:val="28"/>
          <w:szCs w:val="28"/>
        </w:rPr>
        <w:t>评估服务</w:t>
      </w:r>
      <w:r>
        <w:rPr>
          <w:rFonts w:hint="default" w:ascii="仿宋_GB2312" w:hAnsi="仿宋_GB2312" w:eastAsia="仿宋_GB2312" w:cs="仿宋_GB2312"/>
          <w:sz w:val="28"/>
          <w:szCs w:val="28"/>
        </w:rPr>
        <w:t>。</w:t>
      </w:r>
    </w:p>
    <w:p w14:paraId="3DF17F44">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2、项目内容：</w:t>
      </w:r>
      <w:r>
        <w:rPr>
          <w:rFonts w:hint="eastAsia" w:ascii="仿宋_GB2312" w:hAnsi="仿宋_GB2312" w:eastAsia="仿宋_GB2312" w:cs="仿宋_GB2312"/>
          <w:b w:val="0"/>
          <w:bCs w:val="0"/>
          <w:sz w:val="28"/>
          <w:szCs w:val="28"/>
        </w:rPr>
        <w:t>下围项目位于观湖街道樟溪社区，南临环观南路，西临平安路，整备实施范围约21.30公顷，建筑物约100栋，现状建筑面积约29.25万㎡。涉及上围、下围2家股份公司，涉及权利人约145户。房屋类型涉及村集体物业、工业厂房、类住宅楼</w:t>
      </w:r>
      <w:r>
        <w:rPr>
          <w:rFonts w:hint="eastAsia" w:ascii="仿宋_GB2312" w:hAnsi="仿宋_GB2312" w:eastAsia="仿宋_GB2312" w:cs="仿宋_GB2312"/>
          <w:sz w:val="28"/>
          <w:szCs w:val="28"/>
        </w:rPr>
        <w:t>。</w:t>
      </w:r>
    </w:p>
    <w:p w14:paraId="684AEA72">
      <w:pPr>
        <w:pStyle w:val="2"/>
        <w:spacing w:line="560" w:lineRule="exact"/>
        <w:ind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3、服务范围</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b w:val="0"/>
          <w:bCs w:val="0"/>
          <w:sz w:val="28"/>
          <w:szCs w:val="28"/>
        </w:rPr>
        <w:t>项目范围内被搬迁人的土地、</w:t>
      </w:r>
      <w:r>
        <w:rPr>
          <w:rFonts w:hint="eastAsia" w:ascii="仿宋_GB2312" w:hAnsi="仿宋_GB2312" w:eastAsia="仿宋_GB2312" w:cs="仿宋_GB2312"/>
          <w:b w:val="0"/>
          <w:bCs w:val="0"/>
          <w:sz w:val="28"/>
          <w:szCs w:val="28"/>
          <w:lang w:val="en-US" w:eastAsia="zh-CN"/>
        </w:rPr>
        <w:t>建筑物、</w:t>
      </w:r>
      <w:r>
        <w:rPr>
          <w:rFonts w:hint="eastAsia" w:ascii="仿宋_GB2312" w:hAnsi="仿宋_GB2312" w:eastAsia="仿宋_GB2312" w:cs="仿宋_GB2312"/>
          <w:b w:val="0"/>
          <w:bCs w:val="0"/>
          <w:sz w:val="28"/>
          <w:szCs w:val="28"/>
        </w:rPr>
        <w:t>临时性建筑物、构筑（附属）物、不计建筑面积的阳台、走廊、滴水补贴、其他地上附着物（含果树、苗木）、室内自行装修装饰、搬迁费、临时安置费、停产停业损失补偿费、擅改经营性用途适当补偿等；根据测绘报告、被搬迁人信息核查认定结果等相关资料按照项目补偿安置方案，编制补偿方案表，并出具评估报告，为</w:t>
      </w:r>
      <w:r>
        <w:rPr>
          <w:rFonts w:hint="eastAsia" w:ascii="仿宋_GB2312" w:hAnsi="仿宋_GB2312" w:eastAsia="仿宋_GB2312" w:cs="仿宋_GB2312"/>
          <w:b w:val="0"/>
          <w:bCs w:val="0"/>
          <w:sz w:val="28"/>
          <w:szCs w:val="28"/>
          <w:lang w:val="en-US" w:eastAsia="zh-Hans"/>
        </w:rPr>
        <w:t>甲方</w:t>
      </w:r>
      <w:r>
        <w:rPr>
          <w:rFonts w:hint="eastAsia" w:ascii="仿宋_GB2312" w:hAnsi="仿宋_GB2312" w:eastAsia="仿宋_GB2312" w:cs="仿宋_GB2312"/>
          <w:b w:val="0"/>
          <w:bCs w:val="0"/>
          <w:sz w:val="28"/>
          <w:szCs w:val="28"/>
        </w:rPr>
        <w:t>开展补偿安置工作提供价值参考依据，同时做好沟通解释等相关工作。</w:t>
      </w:r>
    </w:p>
    <w:p w14:paraId="61F8E0C2">
      <w:pPr>
        <w:widowControl/>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4、服务时间：</w:t>
      </w:r>
      <w:r>
        <w:rPr>
          <w:rFonts w:hint="eastAsia" w:ascii="仿宋" w:hAnsi="仿宋" w:eastAsia="仿宋" w:cs="仿宋"/>
          <w:sz w:val="28"/>
          <w:szCs w:val="28"/>
        </w:rPr>
        <w:t xml:space="preserve">自合同签订之日起 </w:t>
      </w:r>
      <w:r>
        <w:rPr>
          <w:rFonts w:hint="eastAsia" w:ascii="仿宋" w:hAnsi="仿宋" w:eastAsia="仿宋" w:cs="仿宋"/>
          <w:sz w:val="28"/>
          <w:szCs w:val="28"/>
          <w:lang w:val="en-US" w:eastAsia="zh-CN"/>
        </w:rPr>
        <w:t>540</w:t>
      </w:r>
      <w:r>
        <w:rPr>
          <w:rFonts w:hint="eastAsia" w:ascii="仿宋" w:hAnsi="仿宋" w:eastAsia="仿宋" w:cs="仿宋"/>
          <w:sz w:val="28"/>
          <w:szCs w:val="28"/>
        </w:rPr>
        <w:t xml:space="preserve"> 天（日历日）</w:t>
      </w:r>
      <w:r>
        <w:rPr>
          <w:rFonts w:hint="eastAsia" w:ascii="仿宋_GB2312" w:hAnsi="仿宋_GB2312" w:eastAsia="仿宋_GB2312" w:cs="仿宋_GB2312"/>
          <w:sz w:val="28"/>
          <w:szCs w:val="28"/>
        </w:rPr>
        <w:t xml:space="preserve">，实际服务期限自合同签订之日起至项目结束止。 </w:t>
      </w:r>
    </w:p>
    <w:p w14:paraId="2A63719F">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服务内容</w:t>
      </w:r>
    </w:p>
    <w:p w14:paraId="0CA5877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1、负责调查、了解拆迁范围内被拆迁房屋及土地等评估标的有关情况，并按照法律规定、行业规范以及合同约定，结合评估市场及本工程拆迁评估的具体情况，保证对评估委托的项目进行客观、公正地评估； </w:t>
      </w:r>
    </w:p>
    <w:p w14:paraId="5046DAC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2、组织工作人员进行现场查勘及清点登记，并在采购人提供正式测量报告后</w:t>
      </w:r>
      <w:r>
        <w:rPr>
          <w:rFonts w:hint="eastAsia" w:ascii="仿宋_GB2312" w:hAnsi="仿宋_GB2312" w:eastAsia="仿宋_GB2312" w:cs="仿宋_GB2312"/>
          <w:sz w:val="28"/>
          <w:szCs w:val="28"/>
          <w:highlight w:val="none"/>
          <w:lang w:val="en-US" w:eastAsia="zh-CN"/>
        </w:rPr>
        <w:t>2个</w:t>
      </w:r>
      <w:r>
        <w:rPr>
          <w:rFonts w:hint="eastAsia" w:ascii="仿宋_GB2312" w:hAnsi="仿宋_GB2312" w:eastAsia="仿宋_GB2312" w:cs="仿宋_GB2312"/>
          <w:sz w:val="28"/>
          <w:szCs w:val="28"/>
          <w:lang w:val="en-US" w:eastAsia="zh-CN"/>
        </w:rPr>
        <w:t>工作日</w:t>
      </w:r>
      <w:r>
        <w:rPr>
          <w:rFonts w:hint="eastAsia" w:ascii="仿宋_GB2312" w:hAnsi="仿宋_GB2312" w:eastAsia="仿宋_GB2312" w:cs="仿宋_GB2312"/>
          <w:sz w:val="28"/>
          <w:szCs w:val="28"/>
        </w:rPr>
        <w:t>内提供评估报告书</w:t>
      </w:r>
      <w:r>
        <w:rPr>
          <w:rFonts w:hint="eastAsia" w:ascii="仿宋_GB2312" w:hAnsi="仿宋_GB2312" w:eastAsia="仿宋_GB2312" w:cs="仿宋_GB2312"/>
          <w:sz w:val="28"/>
          <w:szCs w:val="28"/>
          <w:lang w:val="en-US" w:eastAsia="zh-CN"/>
        </w:rPr>
        <w:t xml:space="preserve">； </w:t>
      </w:r>
    </w:p>
    <w:p w14:paraId="098335C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3、配合采购人解释有关评估方面的问题； </w:t>
      </w:r>
    </w:p>
    <w:p w14:paraId="3FEF35F5">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4、审核集体/国有资产交易可研、评估等报告； </w:t>
      </w:r>
    </w:p>
    <w:p w14:paraId="08E4CB59">
      <w:pPr>
        <w:spacing w:line="560" w:lineRule="exact"/>
        <w:ind w:firstLine="560" w:firstLineChars="200"/>
        <w:rPr>
          <w:rFonts w:hint="eastAsia"/>
        </w:rPr>
      </w:pPr>
      <w:r>
        <w:rPr>
          <w:rFonts w:hint="eastAsia" w:ascii="仿宋_GB2312" w:hAnsi="仿宋_GB2312" w:eastAsia="仿宋_GB2312" w:cs="仿宋_GB2312"/>
          <w:sz w:val="28"/>
          <w:szCs w:val="28"/>
          <w:lang w:val="en-US" w:eastAsia="zh-CN"/>
        </w:rPr>
        <w:t>5、其他评估相关的工作。</w:t>
      </w:r>
    </w:p>
    <w:p w14:paraId="778F6080">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咨询服务资料归属</w:t>
      </w:r>
    </w:p>
    <w:p w14:paraId="29ED927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1、所有提交给甲方的评估服务文件及相关的资料的最后文本，包括为履行评估服务范围所编制的图纸、计划和证明资料等，都属于甲方的财产，乙方在提交给甲方之前应将上述资料进行整理归类和编制索引。</w:t>
      </w:r>
    </w:p>
    <w:p w14:paraId="7449F22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2、本合同项目完成或未完成的各阶段形成的任何成果，乙方应及时将该工作成果及相关资料移交甲方。乙方未经甲方的书面同意，不得将上述资料用于与本评估服务项目之外的任何项目。</w:t>
      </w:r>
    </w:p>
    <w:p w14:paraId="6186B43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3、合同履行完毕，未经甲方的书面同意，乙方不得保存在履行合同过程中所获得或接触到的任何内部数据资料。</w:t>
      </w:r>
    </w:p>
    <w:p w14:paraId="51CBECF7">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甲方的权利与义务</w:t>
      </w:r>
    </w:p>
    <w:p w14:paraId="25A1A13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rPr>
        <w:t>甲方</w:t>
      </w:r>
      <w:r>
        <w:rPr>
          <w:rFonts w:hint="eastAsia" w:ascii="仿宋_GB2312" w:hAnsi="仿宋_GB2312" w:eastAsia="仿宋_GB2312" w:cs="仿宋_GB2312"/>
          <w:sz w:val="28"/>
          <w:szCs w:val="28"/>
        </w:rPr>
        <w:t>负责与本项目有关的第三方的协调，提供开展评估服务工作的外部条件。</w:t>
      </w:r>
    </w:p>
    <w:p w14:paraId="04DCEDE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2、甲方向乙方提供与本项目工作有关的资料。</w:t>
      </w:r>
    </w:p>
    <w:p w14:paraId="57E9656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3、有权向乙方询问工作进展情况及相关的内容，有权对乙方的工作进行监督。</w:t>
      </w:r>
    </w:p>
    <w:p w14:paraId="11054E8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4、有权阐述对具体问题的意见和建议。</w:t>
      </w:r>
    </w:p>
    <w:p w14:paraId="5AA6060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5、当甲方认定乙方人员不按合同履行其职责，或与第三人串通给甲方造成经济损失的，甲方有权要求更换人员，直至终止合同并要求乙方承担相应的赔偿责任。甲方有权要求乙方更换不合格的项目人员。</w:t>
      </w:r>
    </w:p>
    <w:p w14:paraId="4FF56A4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6、甲方应按本协议约定向乙方支付评估费用。</w:t>
      </w:r>
    </w:p>
    <w:p w14:paraId="2C87F7C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7、甲方有权随时向乙方项目工作组人员了解项目进展情况。并有权要求乙方项目工作组人员赴甲方办公地点进行驻点及项目工作进展汇报。</w:t>
      </w:r>
    </w:p>
    <w:p w14:paraId="04D89F2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8、甲方有权要求乙方按本合同约定及时提交工作成果，甲方有权对乙方的工作成果提出书面异议，有权要求乙方对成果内容进行修改、完善或补充。</w:t>
      </w:r>
    </w:p>
    <w:p w14:paraId="6D0C611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9、甲方有权提出乙方工作中和报告中存在的疏忽、遗漏、错误之处，并有权要求予以纠正；对向乙方提出的问题，有权要求予以解答。</w:t>
      </w:r>
    </w:p>
    <w:p w14:paraId="62127BC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10、甲方有权对乙方项目工作组成员的表现提出建议或意见，有权要求乙方对项目工作组成员的不当行为进行处理或对不符合甲方要求的人员进行更换。</w:t>
      </w:r>
    </w:p>
    <w:p w14:paraId="0CD73F2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11、本合同项下乙方完成的、以任何载体所体现的工作报告、图表，甲方享有除署名权以外的知识产权，对此知识成果享有永久使用权。</w:t>
      </w:r>
    </w:p>
    <w:p w14:paraId="5E02D6C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12、若乙方的企业资质在服务期内发生变化，不再符合要求的，甲方有权取消其中标资格。</w:t>
      </w:r>
    </w:p>
    <w:p w14:paraId="7E166DCA">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乙方的权利与义务</w:t>
      </w:r>
    </w:p>
    <w:p w14:paraId="357AC00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1、乙方应按照招标文件、投标文件要求完成本项目评估服务工作。</w:t>
      </w:r>
    </w:p>
    <w:p w14:paraId="09347C8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2、乙方应提供为完成项目工作必需的交通工具、办公用品、材料等条件，保证不影响工作的进度和质量要求。乙方在整个项目过程中所发生的住宿、伙食、办公、用车、材料等一系列费用均由乙方自行承担。</w:t>
      </w:r>
    </w:p>
    <w:p w14:paraId="7E678A66">
      <w:pPr>
        <w:tabs>
          <w:tab w:val="left" w:pos="630"/>
        </w:tabs>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项目所有的方案、补偿办法、评估报告等材料归甲方所有，乙方应对该项目所有成果及其相关资料承担保密义务，本项目在结束后的两年内未经甲方书面同意，不得借用他人或挪作他用。本条同时适用于乙方具体从事该项目的工作人员。</w:t>
      </w:r>
    </w:p>
    <w:p w14:paraId="3130046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4、未经甲方书面同意，乙方不得将本合同标的全部或部分转包转让第三方。</w:t>
      </w:r>
    </w:p>
    <w:p w14:paraId="5489CBA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5、乙方应做好安全生产管理，由于乙方安全措施不力造成的责任和因此发生的费用，由乙方自行承担，乙方工作人员从事工作过程中的人身及财产安全由乙方负责。</w:t>
      </w:r>
    </w:p>
    <w:p w14:paraId="399FDDB3">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6、乙方应遵守相关管理规定，并接受甲方按有关规定开展的考核和奖惩结果。</w:t>
      </w:r>
    </w:p>
    <w:p w14:paraId="5E4AC888">
      <w:pPr>
        <w:pStyle w:val="2"/>
        <w:spacing w:line="560" w:lineRule="exact"/>
        <w:ind w:firstLine="561"/>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7、乙方及乙方人员不得收受第三方的任何回扣和佣金等，不得违反有关法律法规和合同约定，或不信守职业道德，或存在不恰当的腐败行为。</w:t>
      </w:r>
    </w:p>
    <w:p w14:paraId="6E8482D8">
      <w:pPr>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8、乙方须按时完成甲方要求的节点任务。</w:t>
      </w:r>
    </w:p>
    <w:p w14:paraId="36C8797D">
      <w:pPr>
        <w:pStyle w:val="2"/>
        <w:spacing w:line="560" w:lineRule="exact"/>
        <w:ind w:firstLine="56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9、乙方项目工作人员须在甲方指定的办公场所驻点办公，乙方所需的作业工具、劳保用品、办公设备、交通工具以及人员的食宿等乙方自行解决，所产生的费用均由乙方自行承担。</w:t>
      </w:r>
    </w:p>
    <w:p w14:paraId="292057E3">
      <w:pPr>
        <w:tabs>
          <w:tab w:val="left" w:pos="630"/>
        </w:tabs>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必须服从甲方的监督、管理。乙方在工作期间投入的项目技术人员须严守工作纪律，保持良好的服务态度，坚持原则，秉公办事，不得接受请客送礼，不得收受贿赂等；遵守其他要求遵守的工作制度和纪律。</w:t>
      </w:r>
    </w:p>
    <w:p w14:paraId="71704582">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11、乙方需服从甲方的工作管理及安排，遵守甲方制定的考勤制度；项目过程中因工作需要乙方人员加班加点的，乙方承诺配合执行，加班费用由乙方自行解决。</w:t>
      </w:r>
    </w:p>
    <w:p w14:paraId="6B9AF20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12、甲方建立履约评价考核体系，乙方须无条件接受甲方的考评。</w:t>
      </w:r>
    </w:p>
    <w:p w14:paraId="6D5E5AF3">
      <w:pPr>
        <w:tabs>
          <w:tab w:val="left" w:pos="420"/>
          <w:tab w:val="left" w:pos="640"/>
        </w:tabs>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13、乙方应妥善保管甲方提供的文件资料，重要资料严禁涂改，防止遗失，乙方在作业中违章作业，对甲方所交付的重要文件保管不当或遗失应当承担违约责任，并承担由此产生的一切后果。</w:t>
      </w:r>
    </w:p>
    <w:p w14:paraId="2EF11A80">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人员要求</w:t>
      </w:r>
    </w:p>
    <w:p w14:paraId="34FC0338">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1、乙方应当安排具有资质的项目人员承担相关工作，在甲方的监督下，可自行全面开展本项目所涉及的工作。</w:t>
      </w:r>
    </w:p>
    <w:p w14:paraId="628CD83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保证按照要求组建项目现场团队，与投标文件保持一致，派驻项目负责人、项目技术负责人和项目其他技术人员。未经甲方书面同意，项目完成前乙方不得擅自更换项目负责人、项目技术负责人和主要技术人员。</w:t>
      </w:r>
    </w:p>
    <w:p w14:paraId="4C67701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3、在接受委托后，乙方派驻本项目的服务团队人员</w:t>
      </w:r>
      <w:r>
        <w:rPr>
          <w:rFonts w:hint="eastAsia" w:ascii="仿宋_GB2312" w:hAnsi="仿宋_GB2312" w:eastAsia="仿宋_GB2312" w:cs="仿宋_GB2312"/>
          <w:sz w:val="28"/>
          <w:szCs w:val="28"/>
          <w:lang w:val="en-US" w:eastAsia="zh-CN"/>
        </w:rPr>
        <w:t>不低于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人。其中：项目负责人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名（乙方项目负责人：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），项目技术负责人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名，项目其他技术人员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名，团队成员须具备评估服务相关资质、熟练评估工作。服务期满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个月后，根据工作需要，按甲方要求安排部分工作人员留驻项目现场协助甲方完成后续工作。乙方负责服务团队人员工作场所的安排（甲方可根据实际情况提供工作场地给乙方使用）。</w:t>
      </w:r>
    </w:p>
    <w:p w14:paraId="1D6A233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拟派团队中项目负责人、技术负责人和</w:t>
      </w:r>
      <w:r>
        <w:rPr>
          <w:rFonts w:hint="eastAsia" w:ascii="仿宋_GB2312" w:hAnsi="仿宋_GB2312" w:eastAsia="仿宋_GB2312" w:cs="仿宋_GB2312"/>
          <w:sz w:val="28"/>
          <w:szCs w:val="28"/>
          <w:u w:val="single"/>
          <w:lang w:val="en-US" w:eastAsia="zh-CN" w:bidi="ar"/>
        </w:rPr>
        <w:t xml:space="preserve"> 2 </w:t>
      </w:r>
      <w:r>
        <w:rPr>
          <w:rFonts w:hint="eastAsia" w:ascii="仿宋_GB2312" w:hAnsi="仿宋_GB2312" w:eastAsia="仿宋_GB2312" w:cs="仿宋_GB2312"/>
          <w:sz w:val="28"/>
          <w:szCs w:val="28"/>
          <w:lang w:bidi="ar"/>
        </w:rPr>
        <w:t>名技术人员必须按甲方要求，驻场办公，</w:t>
      </w:r>
      <w:r>
        <w:rPr>
          <w:rFonts w:hint="eastAsia" w:ascii="仿宋_GB2312" w:hAnsi="仿宋_GB2312" w:eastAsia="仿宋_GB2312" w:cs="仿宋_GB2312"/>
          <w:sz w:val="28"/>
          <w:szCs w:val="28"/>
        </w:rPr>
        <w:t>并自行承担相关办公费用。</w:t>
      </w:r>
    </w:p>
    <w:p w14:paraId="266C65C6">
      <w:pPr>
        <w:spacing w:line="56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5</w:t>
      </w:r>
      <w:r>
        <w:rPr>
          <w:rFonts w:hint="eastAsia" w:ascii="仿宋_GB2312" w:hAnsi="仿宋_GB2312" w:eastAsia="仿宋_GB2312" w:cs="仿宋_GB2312"/>
          <w:sz w:val="28"/>
          <w:szCs w:val="28"/>
        </w:rPr>
        <w:t>、乙方委派人员与甲方不存在任何劳动、雇佣或用工关系，乙方应按照法律规定履行与委派人员签订劳动合同、支付工资、购买五险一金等义务。</w:t>
      </w:r>
    </w:p>
    <w:p w14:paraId="440CD8EA">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乙方评估服务工具要求</w:t>
      </w:r>
    </w:p>
    <w:p w14:paraId="0DB9DF4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1、乙方负责服务团队人员工作场所的安排（甲方可根据实际情况提供工作场地给乙方使用）。</w:t>
      </w:r>
    </w:p>
    <w:p w14:paraId="0FA9C81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2、乙方需配备项目的硬件设备及必要的办公设备、设施等。</w:t>
      </w:r>
    </w:p>
    <w:p w14:paraId="599B2C8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3、乙方需配备工作用车保证工作需要。</w:t>
      </w:r>
    </w:p>
    <w:p w14:paraId="59DCEF45">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保密要求</w:t>
      </w:r>
    </w:p>
    <w:p w14:paraId="6E7F048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甲方收集的、开发的、整理的、复制的、研究的和准备的与本合同项下工作有关的所有资料（包括但不限于微信、QQ、邮件等电子资料及纸质资料）在提供给乙方及乙方工作人员时，均被视为保密的，乙方及乙方工作人员不得泄漏给除甲方或其指定的代表之外的任何人、企业或单位，不管本合同因何种原因终止，本条款一直约束乙方及乙方工作人员。</w:t>
      </w:r>
    </w:p>
    <w:p w14:paraId="33879FD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2、乙方及乙方工作人员在履行合同过程中所获得或接触到的任何内部数据资料，未经甲方书面同意，不得向任何第三方透露。</w:t>
      </w:r>
    </w:p>
    <w:p w14:paraId="5E66B43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3、乙方参加项目的有关人员均需同甲方签订保密协议。</w:t>
      </w:r>
    </w:p>
    <w:p w14:paraId="726CACAD">
      <w:pPr>
        <w:pStyle w:val="17"/>
        <w:spacing w:line="560" w:lineRule="exact"/>
        <w:ind w:firstLine="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服务要求</w:t>
      </w:r>
    </w:p>
    <w:p w14:paraId="4507422E">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1、甲方与乙方签订服务合同，乙方应按服务合同要求按时、按质、按量推进项目工作。</w:t>
      </w:r>
    </w:p>
    <w:p w14:paraId="1A0FE6B8">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2、乙方项目组成员应按甲方的要求参加本项目审查和讨论的全部工作会议。</w:t>
      </w:r>
    </w:p>
    <w:p w14:paraId="256B2EF8">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3、乙方应根据本项目进度，按照甲方的要求完成指定工作。</w:t>
      </w:r>
    </w:p>
    <w:p w14:paraId="1F8F4F8B">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4、开展工作应遵循实事求是，严格遵守行业规范，积极配合甲方工作安排。</w:t>
      </w:r>
    </w:p>
    <w:p w14:paraId="59DBF410">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工作人员一经确定不得变更，乙方无正当理由不得随意更换派驻人员，否则甲方有权解除合同。若乙方委派的工作人员存在履职不到位的情况，甲方有权要求乙方予以调换，乙方应在3日内调换完毕。在项目期间因人员离职确需调整的需经甲方批准，调整不得降低标准。</w:t>
      </w:r>
    </w:p>
    <w:p w14:paraId="31DCF6BE">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6、乙方及其工作人员必须于收到甲方通知后按时进场开展相关工作，最迟不得迟于甲方及其工作人员电话、微信等通知的24小时。</w:t>
      </w:r>
    </w:p>
    <w:p w14:paraId="3389C3F3">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乙方应自行提供为完成项目工作必需的交通工具、办公用品、材料等条件，保证不影响工作的进度和质量要求。乙方在整个项目过程中所发生的住宿、伙食、办公、用车、材料等一系列费用均由乙方自行承担。</w:t>
      </w:r>
    </w:p>
    <w:p w14:paraId="77EF0CF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8、乙方应遵守相关管理规定，并接受甲方按有关规定开展的考核和奖惩结果。</w:t>
      </w:r>
    </w:p>
    <w:p w14:paraId="74F7D509">
      <w:pPr>
        <w:pStyle w:val="2"/>
        <w:ind w:firstLine="560" w:firstLineChars="200"/>
        <w:rPr>
          <w:rFonts w:hint="default"/>
          <w:b w:val="0"/>
          <w:bCs w:val="0"/>
        </w:rPr>
      </w:pPr>
      <w:r>
        <w:rPr>
          <w:rFonts w:hint="default" w:ascii="仿宋_GB2312" w:hAnsi="仿宋_GB2312" w:eastAsia="仿宋_GB2312" w:cs="仿宋_GB2312"/>
          <w:b w:val="0"/>
          <w:bCs w:val="0"/>
          <w:sz w:val="28"/>
          <w:szCs w:val="28"/>
        </w:rPr>
        <w:t>9、评估中涉及到的任何一方对评估报告有异议，可提请将报告送深圳市不动产学会专业技术委员会进行技术鉴定，鉴定结果为不存在技术问题的，由提请方承担申请鉴定的费用；鉴定结果为存在技术问题的，由</w:t>
      </w:r>
      <w:r>
        <w:rPr>
          <w:rFonts w:hint="eastAsia" w:ascii="仿宋_GB2312" w:hAnsi="仿宋_GB2312" w:eastAsia="仿宋_GB2312" w:cs="仿宋_GB2312"/>
          <w:b w:val="0"/>
          <w:bCs w:val="0"/>
          <w:sz w:val="28"/>
          <w:szCs w:val="28"/>
          <w:lang w:val="en-US" w:eastAsia="zh-Hans"/>
        </w:rPr>
        <w:t>乙方</w:t>
      </w:r>
      <w:r>
        <w:rPr>
          <w:rFonts w:hint="default" w:ascii="仿宋_GB2312" w:hAnsi="仿宋_GB2312" w:eastAsia="仿宋_GB2312" w:cs="仿宋_GB2312"/>
          <w:b w:val="0"/>
          <w:bCs w:val="0"/>
          <w:sz w:val="28"/>
          <w:szCs w:val="28"/>
        </w:rPr>
        <w:t>承担申请鉴定的费用，同时修改或重做报告。</w:t>
      </w:r>
    </w:p>
    <w:p w14:paraId="0F1C9DA5">
      <w:pPr>
        <w:pStyle w:val="17"/>
        <w:spacing w:line="560" w:lineRule="exact"/>
        <w:ind w:left="0"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售后服务要求</w:t>
      </w:r>
    </w:p>
    <w:p w14:paraId="7D163C32">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1、乙方对评估成果质量终身负责； </w:t>
      </w:r>
    </w:p>
    <w:p w14:paraId="1C8BF377">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2、乙方在公开的投标文件中应提供详细的售后服务承诺书； </w:t>
      </w:r>
    </w:p>
    <w:p w14:paraId="5D1A3E9F">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3、项目服务期满后整体审核通过进入售后服务期，售后服务内容要求主要包括技术支持等； </w:t>
      </w:r>
    </w:p>
    <w:p w14:paraId="0F6AAAF4">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4、本项目售后服务期限为1年，由乙方免费提供1年的技术支持服务； </w:t>
      </w:r>
    </w:p>
    <w:p w14:paraId="59CC098B">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5、技术支持服务包括包含以下内容： </w:t>
      </w:r>
    </w:p>
    <w:p w14:paraId="7A0F274F">
      <w:pPr>
        <w:spacing w:line="560" w:lineRule="exact"/>
        <w:ind w:firstLine="840" w:firstLineChars="3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A．专员支持服务：安排维护专员为本项目售后技术支持，并提供其联系手机、电话、传真、 Email；保证采购方能及时联系到维护专员；如人员需要调整应及时通知采购方； </w:t>
      </w:r>
    </w:p>
    <w:p w14:paraId="7150703B">
      <w:pPr>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B．审查支持服务：乙方应配合采购方进行与本项目相关的技术审查工作，并提供书面专业技术意见。</w:t>
      </w:r>
    </w:p>
    <w:p w14:paraId="0F013DC7">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 xml:space="preserve">条  </w:t>
      </w:r>
      <w:r>
        <w:rPr>
          <w:rFonts w:hint="eastAsia" w:ascii="仿宋_GB2312" w:hAnsi="仿宋_GB2312" w:eastAsia="仿宋_GB2312" w:cs="仿宋_GB2312"/>
          <w:b/>
          <w:bCs/>
          <w:sz w:val="32"/>
          <w:szCs w:val="32"/>
        </w:rPr>
        <w:t>付款期限和方式</w:t>
      </w:r>
    </w:p>
    <w:p w14:paraId="2D619E14">
      <w:pPr>
        <w:pStyle w:val="2"/>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1、经公开招标，乙方中标折扣率为</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val="0"/>
          <w:bCs w:val="0"/>
          <w:sz w:val="28"/>
          <w:szCs w:val="28"/>
        </w:rPr>
        <w:t xml:space="preserve"> 。本项目暂定合同价为</w:t>
      </w:r>
      <w:r>
        <w:rPr>
          <w:rFonts w:hint="eastAsia" w:ascii="仿宋_GB2312" w:hAnsi="仿宋_GB2312" w:eastAsia="仿宋_GB2312" w:cs="仿宋_GB2312"/>
          <w:b/>
          <w:bCs/>
          <w:sz w:val="28"/>
          <w:szCs w:val="28"/>
          <w:u w:val="none"/>
        </w:rPr>
        <w:t>¥</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（含税，大写：</w:t>
      </w:r>
      <w:r>
        <w:rPr>
          <w:rFonts w:hint="eastAsia" w:ascii="仿宋_GB2312" w:hAnsi="仿宋_GB2312" w:eastAsia="仿宋_GB2312" w:cs="仿宋_GB2312"/>
          <w:b/>
          <w:bCs/>
          <w:sz w:val="28"/>
          <w:szCs w:val="28"/>
          <w:u w:val="single"/>
          <w:lang w:val="en-US" w:eastAsia="zh-CN"/>
        </w:rPr>
        <w:t xml:space="preserve">人民币           </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val="0"/>
          <w:bCs w:val="0"/>
          <w:sz w:val="28"/>
          <w:szCs w:val="28"/>
        </w:rPr>
        <w:t>。</w:t>
      </w:r>
    </w:p>
    <w:p w14:paraId="4CAD6F00">
      <w:pPr>
        <w:pStyle w:val="2"/>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2、根据《深圳市不动产估价协会关于印发&lt;深圳市不动产估价行业收费管理规定&gt;的通知》（深估协字[2013]04 号）收费标准，参考我市类似项目计费标准，结合项目实际，按照以下标准计费：基准单价不超过 4.5元 /平方米。</w:t>
      </w:r>
    </w:p>
    <w:p w14:paraId="6F850C02">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3、本合同为固定单价合同，工程量按最终实际工作量计算。结算金额=基准单价×中标折扣率×工程量（</w:t>
      </w:r>
      <w:r>
        <w:rPr>
          <w:rFonts w:hint="eastAsia" w:ascii="仿宋_GB2312" w:hAnsi="仿宋_GB2312" w:eastAsia="仿宋_GB2312" w:cs="仿宋_GB2312"/>
          <w:sz w:val="28"/>
          <w:szCs w:val="28"/>
          <w:lang w:val="en-US" w:eastAsia="zh-CN"/>
        </w:rPr>
        <w:t>永久建筑的建筑面积+临时建筑的投影面积</w:t>
      </w:r>
      <w:r>
        <w:rPr>
          <w:rFonts w:hint="eastAsia" w:ascii="仿宋_GB2312" w:hAnsi="仿宋_GB2312" w:eastAsia="仿宋_GB2312" w:cs="仿宋_GB2312"/>
          <w:sz w:val="28"/>
          <w:szCs w:val="28"/>
        </w:rPr>
        <w:t>）（最终以</w:t>
      </w:r>
      <w:r>
        <w:rPr>
          <w:rFonts w:hint="eastAsia" w:ascii="仿宋_GB2312" w:hAnsi="仿宋_GB2312" w:eastAsia="仿宋_GB2312" w:cs="仿宋_GB2312"/>
          <w:sz w:val="28"/>
          <w:szCs w:val="28"/>
          <w:lang w:val="en-US" w:eastAsia="zh-CN"/>
        </w:rPr>
        <w:t>测绘报告出具的</w:t>
      </w:r>
      <w:r>
        <w:rPr>
          <w:rFonts w:hint="eastAsia" w:ascii="仿宋_GB2312" w:hAnsi="仿宋_GB2312" w:eastAsia="仿宋_GB2312" w:cs="仿宋_GB2312"/>
          <w:sz w:val="28"/>
          <w:szCs w:val="28"/>
        </w:rPr>
        <w:t>实际面积为准）。最终结算价不超过人民币</w:t>
      </w:r>
      <w:r>
        <w:rPr>
          <w:rFonts w:hint="eastAsia" w:ascii="仿宋_GB2312" w:hAnsi="仿宋_GB2312" w:eastAsia="仿宋_GB2312" w:cs="仿宋_GB2312"/>
          <w:sz w:val="28"/>
          <w:szCs w:val="28"/>
          <w:u w:val="single"/>
          <w:lang w:val="en-US" w:eastAsia="zh-CN" w:bidi="ar"/>
        </w:rPr>
        <w:t xml:space="preserve"> </w:t>
      </w:r>
      <w:r>
        <w:rPr>
          <w:rFonts w:hint="eastAsia" w:ascii="仿宋_GB2312" w:hAnsi="仿宋_GB2312" w:eastAsia="仿宋_GB2312" w:cs="仿宋_GB2312"/>
          <w:sz w:val="28"/>
          <w:szCs w:val="28"/>
          <w:u w:val="single"/>
          <w:lang w:val="en-US" w:eastAsia="zh-CN" w:bidi="ar"/>
        </w:rPr>
        <w:t>848,400.00</w:t>
      </w:r>
      <w:r>
        <w:rPr>
          <w:rFonts w:hint="eastAsia" w:ascii="仿宋_GB2312" w:hAnsi="仿宋_GB2312" w:eastAsia="仿宋_GB2312" w:cs="仿宋_GB2312"/>
          <w:sz w:val="28"/>
          <w:szCs w:val="28"/>
          <w:u w:val="single"/>
          <w:lang w:val="en-US" w:eastAsia="zh-CN" w:bidi="ar"/>
        </w:rPr>
        <w:t xml:space="preserve"> </w:t>
      </w:r>
      <w:r>
        <w:rPr>
          <w:rFonts w:hint="eastAsia" w:ascii="仿宋_GB2312" w:hAnsi="仿宋_GB2312" w:eastAsia="仿宋_GB2312" w:cs="仿宋_GB2312"/>
          <w:sz w:val="28"/>
          <w:szCs w:val="28"/>
        </w:rPr>
        <w:t>元（含税，大写：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14:paraId="3B5D50D1">
      <w:pPr>
        <w:pStyle w:val="2"/>
        <w:tabs>
          <w:tab w:val="left" w:pos="630"/>
          <w:tab w:val="left" w:pos="1050"/>
        </w:tabs>
        <w:spacing w:line="560" w:lineRule="exact"/>
        <w:ind w:left="420" w:leftChars="200" w:firstLine="280" w:firstLineChars="1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4、付款方式为分期付款。其中：</w:t>
      </w:r>
    </w:p>
    <w:p w14:paraId="7CA8E7E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（1）评估报告完成60%（按照建筑面积）</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，支付本项目合同价的</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w:t>
      </w:r>
    </w:p>
    <w:p w14:paraId="540E5AA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（2）评估报告完成 90%（按建筑面积）</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，支付本项目合同价的 3</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546BC1A2">
      <w:pPr>
        <w:spacing w:line="560" w:lineRule="exact"/>
        <w:ind w:firstLine="560" w:firstLineChars="200"/>
        <w:jc w:val="left"/>
        <w:rPr>
          <w:rFonts w:hint="eastAsia"/>
        </w:rPr>
      </w:pPr>
      <w:r>
        <w:rPr>
          <w:rFonts w:hint="eastAsia" w:ascii="仿宋_GB2312" w:hAnsi="仿宋_GB2312" w:eastAsia="仿宋_GB2312" w:cs="仿宋_GB2312"/>
          <w:sz w:val="28"/>
          <w:szCs w:val="28"/>
        </w:rPr>
        <w:t>（3）完成所有评估报告并经甲方确认，甲方签订所有留用地出让合同，且完成</w:t>
      </w:r>
      <w:r>
        <w:rPr>
          <w:rFonts w:hint="eastAsia" w:ascii="仿宋_GB2312" w:hAnsi="仿宋_GB2312" w:eastAsia="仿宋_GB2312" w:cs="仿宋_GB2312"/>
          <w:sz w:val="28"/>
          <w:szCs w:val="28"/>
          <w:lang w:val="en-US" w:eastAsia="zh-CN"/>
        </w:rPr>
        <w:t>本合同</w:t>
      </w:r>
      <w:r>
        <w:rPr>
          <w:rFonts w:hint="eastAsia" w:ascii="仿宋_GB2312" w:hAnsi="仿宋_GB2312" w:eastAsia="仿宋_GB2312" w:cs="仿宋_GB2312"/>
          <w:sz w:val="28"/>
          <w:szCs w:val="28"/>
        </w:rPr>
        <w:t>结算后，支付至结算价的100%。</w:t>
      </w:r>
    </w:p>
    <w:p w14:paraId="0B9EA24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支付每期款项前，乙方须按照合同约定履行完相应义务并经甲方验收合格。甲方支付费用前，乙方需向甲方提供等额的增值税专用发票，否则甲方有权拒绝付款，且不承担任何法律责任。税费不因相关税收法律法规的改变而调整，由此增加的税务成本由</w:t>
      </w:r>
      <w:r>
        <w:rPr>
          <w:rFonts w:hint="eastAsia" w:ascii="仿宋_GB2312" w:hAnsi="仿宋_GB2312" w:eastAsia="仿宋_GB2312" w:cs="仿宋_GB2312"/>
          <w:sz w:val="28"/>
          <w:szCs w:val="28"/>
          <w:lang w:val="en-US" w:eastAsia="zh-Hans"/>
        </w:rPr>
        <w:t>乙方</w:t>
      </w:r>
      <w:r>
        <w:rPr>
          <w:rFonts w:hint="eastAsia" w:ascii="仿宋_GB2312" w:hAnsi="仿宋_GB2312" w:eastAsia="仿宋_GB2312" w:cs="仿宋_GB2312"/>
          <w:sz w:val="28"/>
          <w:szCs w:val="28"/>
        </w:rPr>
        <w:t>自行承担，结算时不进行调整。合同支付方式包括但不限于银行转账、商业汇票、银行汇票等形式。</w:t>
      </w:r>
    </w:p>
    <w:p w14:paraId="7A9B802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保证其提供的银行账号真实、合法、有效，甲方向乙方指定的银行账号转入款项后即视为甲方履行完毕付款义务。乙方开户银行、账号等如有变更，应在本合同规定的付款期限前10天，以书面方式通知甲方。如乙方未按合同通知而使甲方遭受损失的，应予以赔偿（包括但不限于向第三方索赔而支付的诉讼费、律师费、财产保全费、调查费、执行费等）。</w:t>
      </w:r>
    </w:p>
    <w:p w14:paraId="472519F9">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因包括政策法规、疫情等在内的所有不可抗力或本</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最终没有开发等原因致使合同无法履行，本合同由双方协商解约，双方各自承担己方损失，不得索赔。</w:t>
      </w:r>
    </w:p>
    <w:p w14:paraId="698E86A2">
      <w:pPr>
        <w:spacing w:line="560" w:lineRule="exact"/>
        <w:ind w:left="559" w:leftChars="26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8、乙方收款银行账户信息如下： </w:t>
      </w:r>
      <w:r>
        <w:rPr>
          <w:rFonts w:hint="eastAsia" w:ascii="仿宋_GB2312" w:hAnsi="仿宋_GB2312" w:eastAsia="仿宋_GB2312" w:cs="仿宋_GB2312"/>
          <w:sz w:val="28"/>
          <w:szCs w:val="28"/>
        </w:rPr>
        <w:cr/>
      </w:r>
      <w:r>
        <w:rPr>
          <w:rFonts w:hint="eastAsia" w:ascii="仿宋_GB2312" w:hAnsi="仿宋_GB2312" w:eastAsia="仿宋_GB2312" w:cs="仿宋_GB2312"/>
          <w:sz w:val="28"/>
          <w:szCs w:val="28"/>
          <w:highlight w:val="none"/>
        </w:rPr>
        <w:t>开户行：</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cr/>
      </w:r>
      <w:r>
        <w:rPr>
          <w:rFonts w:hint="eastAsia" w:ascii="仿宋_GB2312" w:hAnsi="仿宋_GB2312" w:eastAsia="仿宋_GB2312" w:cs="仿宋_GB2312"/>
          <w:sz w:val="28"/>
          <w:szCs w:val="28"/>
          <w:highlight w:val="none"/>
        </w:rPr>
        <w:t>账号：</w:t>
      </w:r>
      <w:r>
        <w:rPr>
          <w:rFonts w:hint="eastAsia" w:ascii="仿宋_GB2312" w:hAnsi="仿宋_GB2312" w:eastAsia="仿宋_GB2312" w:cs="仿宋_GB2312"/>
          <w:sz w:val="28"/>
          <w:szCs w:val="28"/>
          <w:highlight w:val="none"/>
          <w:u w:val="single"/>
          <w:lang w:eastAsia="zh-CN"/>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14:paraId="03D0E74C">
      <w:pPr>
        <w:spacing w:line="560" w:lineRule="exact"/>
        <w:ind w:left="559" w:leftChars="266"/>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户名：</w:t>
      </w:r>
      <w:r>
        <w:rPr>
          <w:rFonts w:hint="eastAsia" w:ascii="仿宋_GB2312" w:hAnsi="仿宋_GB2312" w:eastAsia="仿宋_GB2312" w:cs="仿宋_GB2312"/>
          <w:sz w:val="28"/>
          <w:szCs w:val="28"/>
          <w:highlight w:val="none"/>
          <w:lang w:eastAsia="zh-CN"/>
        </w:rPr>
        <w:t>XXX</w:t>
      </w:r>
      <w:r>
        <w:rPr>
          <w:rFonts w:hint="eastAsia" w:ascii="仿宋_GB2312" w:hAnsi="仿宋_GB2312" w:eastAsia="仿宋_GB2312" w:cs="仿宋_GB2312"/>
          <w:sz w:val="28"/>
          <w:szCs w:val="28"/>
          <w:highlight w:val="none"/>
        </w:rPr>
        <w:t>公司</w:t>
      </w:r>
    </w:p>
    <w:p w14:paraId="119689E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乙方如需改变上述账户，应提前15天书面通知甲方，否则视为甲方已履行付款义务，乙方承担由此造成的一切后果。  </w:t>
      </w:r>
    </w:p>
    <w:p w14:paraId="18CA5AE5">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争议解决办法</w:t>
      </w:r>
    </w:p>
    <w:p w14:paraId="08C0172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因履行本合同引起的或与本合同有关的争议，甲、乙双方应首先通过友好协商解决，如果协商不能解决争议，则向甲方所在地有管辖权的人民法院提起诉讼。</w:t>
      </w:r>
    </w:p>
    <w:p w14:paraId="5298431D">
      <w:pPr>
        <w:spacing w:line="560" w:lineRule="exact"/>
        <w:ind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违约责任</w:t>
      </w:r>
    </w:p>
    <w:p w14:paraId="4C4BFF5D">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１、乙方应完全地按照招标文件的要求和乙方投标文件的承诺完成本项目，出于自身财务、技术、人力等原因导致项目失败的，应承担全部责任。</w:t>
      </w:r>
    </w:p>
    <w:p w14:paraId="69EC82E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2、乙方在本项目服务过程中应对乙方员工的安全负责，若由乙方原因发生的各种事故，均由乙方自行处理并承担责任，甲方不承担任何责任。</w:t>
      </w:r>
    </w:p>
    <w:p w14:paraId="33DE637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3、甲方在签订本合同后擅自解除或终止合同的，应按乙方已实际完成的工作量支付相应的费用。</w:t>
      </w:r>
    </w:p>
    <w:p w14:paraId="41A2DC3B">
      <w:pPr>
        <w:pStyle w:val="2"/>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4、乙方不得随意更换项目管理人员，更换项目负责人罚款3万元/人，更换项目技术负责人罚款3万元/人，更换项目其他管理人员罚款3000元/人，同时失去甲方下一次招标时的投标资格。</w:t>
      </w:r>
    </w:p>
    <w:p w14:paraId="2F20F2C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在签订本合同后擅自解除或终止合同的，甲方无须支付乙方已完成的工作量的费用，乙方应当退还甲方已支付的全部服务费用，并向甲方支付本项目暂定合同价的10%作为违约金，并赔偿甲方因此遭受的一切损失。甲方有权将其未完成部分另行委托他人，乙方不得有任何异议。</w:t>
      </w:r>
    </w:p>
    <w:p w14:paraId="6111D4C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擅自全部或部分转让本合同项下之义务或允许他人借用自己的名义从事本合同项下工作内容的，甲方有权解除本合同，要求乙方按本项目暂定合同价10％的标准支付违约金，并有权要求乙方赔偿甲方因此而造成的损失。</w:t>
      </w:r>
    </w:p>
    <w:p w14:paraId="1D30696A">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若乙方及乙方工作人员违反有关法律法规和合同约定，或不信守职业道德，或存在不恰当和腐败行为，并且造成严重后果的，甲方有权解除本合同，乙方应退还甲方已支付的全部服务费用，且甲方有权要求乙方按本项目暂定合同价10％的标准支付违约金，并承担由此而引起的法律责任，同时赔偿由此造成的甲方经济损失。</w:t>
      </w:r>
    </w:p>
    <w:p w14:paraId="16BF030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8、非甲方提供错误资料等原因，乙方出具的评估报告被</w:t>
      </w:r>
      <w:r>
        <w:rPr>
          <w:rFonts w:hint="eastAsia" w:ascii="仿宋_GB2312" w:hAnsi="仿宋_GB2312" w:eastAsia="仿宋_GB2312" w:cs="仿宋_GB2312"/>
          <w:sz w:val="28"/>
          <w:szCs w:val="28"/>
          <w:lang w:val="en-US" w:eastAsia="zh-CN"/>
        </w:rPr>
        <w:t>甲方委托的评估督导或法律单位</w:t>
      </w:r>
      <w:r>
        <w:rPr>
          <w:rFonts w:hint="eastAsia" w:ascii="仿宋_GB2312" w:hAnsi="仿宋_GB2312" w:eastAsia="仿宋_GB2312" w:cs="仿宋_GB2312"/>
          <w:sz w:val="28"/>
          <w:szCs w:val="28"/>
        </w:rPr>
        <w:t>鉴定为不合法、不规范且乙方不配合修改达三次及以上的，甲方有权终止本合同，并要求乙方退还已支付费用，承担合同价款10%的违约金</w:t>
      </w:r>
      <w:r>
        <w:rPr>
          <w:rFonts w:hint="eastAsia" w:ascii="仿宋_GB2312" w:hAnsi="仿宋_GB2312" w:eastAsia="仿宋_GB2312" w:cs="仿宋_GB2312"/>
          <w:sz w:val="28"/>
          <w:szCs w:val="28"/>
          <w:lang w:eastAsia="zh-CN"/>
        </w:rPr>
        <w:t>。</w:t>
      </w:r>
    </w:p>
    <w:p w14:paraId="21E70D9B">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9、非甲方原因，乙方未能按双方约定时限提交评估报告，乙方应向甲方支付违约金，违约金按本项目合同价千分之一（1‰）每日累计。</w:t>
      </w:r>
    </w:p>
    <w:p w14:paraId="4FFC49EC">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不可抗力</w:t>
      </w:r>
    </w:p>
    <w:p w14:paraId="57537C1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1、本合同所称不可抗力是指发生甲、乙双方不能预见、不能避免并不能克服的自然灾害和社会突发事件，包括地震、水灾、海啸、战争、恐怖活动、动乱、瘟疫等。</w:t>
      </w:r>
    </w:p>
    <w:p w14:paraId="46B54B3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2、任何一方因不可抗力致使本合同义务的履行受到妨碍时，当事者必须在不可抗力发生后5天以内，将不可抗力的发生及状况书面通知对方。</w:t>
      </w:r>
    </w:p>
    <w:p w14:paraId="0C48E45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3、因不可抗力致使一方不能履行或不能完全履行本合同义务时，允许延期履行、部分履行或不履行合同，并根据实际情况可部分或全部免除违约责任。</w:t>
      </w:r>
    </w:p>
    <w:p w14:paraId="3C18668C">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送达</w:t>
      </w:r>
    </w:p>
    <w:p w14:paraId="5DF8A2A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1、甲乙双方一致确认本合同中记载的双方通讯地址和联系方式为双方履行合同、解决合同争议时向接收对方商业文件信函或司法机关（法院、仲裁机构）诉讼、仲裁文书的地址和联系方式。</w:t>
      </w:r>
    </w:p>
    <w:p w14:paraId="12B3E9B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2、任何一方通讯地址和联系方式需要变更的，应提前五个工作日向对方和司法机关送交书面变更告知书（若争议已经进入司法程序解决）。</w:t>
      </w:r>
    </w:p>
    <w:p w14:paraId="0A17ED6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3、上述确认的通讯地址和联系方式真实有效，如有错误，导致的商业信函或诉讼、仲裁文书送达不能的法律后果由自身承担。</w:t>
      </w:r>
    </w:p>
    <w:p w14:paraId="78BCB34F">
      <w:pPr>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4、因一方提供或者确认的送达地址和联系方式不准确、或者送达地址变更后未及时依程序告知对方和司法机关、或者当事人和指定接收人拒绝签收等原因，导致诉讼、仲裁文书未能被当事人实际接收，邮寄送达的，以文书退回之日视为送达之日；直接送达的，送达人当场在送达回证上记明情况之日视为送达之日。</w:t>
      </w:r>
    </w:p>
    <w:p w14:paraId="5BB9E68A">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合同的变更和终止</w:t>
      </w:r>
    </w:p>
    <w:p w14:paraId="7E7933E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除本合同继续履行将损害国家利益和社会利益或者本合同有约定外，双方当事人不得擅自变更、中止或者终止合同。</w:t>
      </w:r>
    </w:p>
    <w:p w14:paraId="0E397FE4">
      <w:pPr>
        <w:pStyle w:val="17"/>
        <w:spacing w:line="560" w:lineRule="exact"/>
        <w:ind w:firstLine="0" w:firstLineChars="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其他</w:t>
      </w:r>
    </w:p>
    <w:p w14:paraId="66362182">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1、下列文件均为本合同的重要组成部分：</w:t>
      </w:r>
    </w:p>
    <w:p w14:paraId="46D2E4F4">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（1）本项目的招标文件、答疑及补充通知；</w:t>
      </w:r>
    </w:p>
    <w:p w14:paraId="3E24CACC">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（2）本项目中标的投标文件；</w:t>
      </w:r>
    </w:p>
    <w:p w14:paraId="0A6DDE66">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（3）本合同执行中共同签署的补充与修正文件。</w:t>
      </w:r>
    </w:p>
    <w:p w14:paraId="3BECA26E">
      <w:pPr>
        <w:pStyle w:val="2"/>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rPr>
        <w:t>以上文件互为补充，如果出现内容冲突的情况，为准的优先顺序为（3）、（2）、（1）。</w:t>
      </w:r>
    </w:p>
    <w:p w14:paraId="6AF34BC0">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2、本合同壹式</w:t>
      </w:r>
      <w:r>
        <w:rPr>
          <w:rFonts w:hint="eastAsia" w:ascii="仿宋_GB2312" w:hAnsi="仿宋_GB2312" w:eastAsia="仿宋_GB2312" w:cs="仿宋_GB2312"/>
          <w:sz w:val="28"/>
          <w:szCs w:val="28"/>
          <w:u w:val="single"/>
        </w:rPr>
        <w:t xml:space="preserve"> 拾 </w:t>
      </w:r>
      <w:r>
        <w:rPr>
          <w:rFonts w:hint="eastAsia" w:ascii="仿宋_GB2312" w:hAnsi="仿宋_GB2312" w:eastAsia="仿宋_GB2312" w:cs="仿宋_GB2312"/>
          <w:sz w:val="28"/>
          <w:szCs w:val="28"/>
        </w:rPr>
        <w:t xml:space="preserve">份，甲方执 </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份，具有同等法律效力。本合同自双方法定代表人或授权代表签字并加盖公章之日起生效。</w:t>
      </w:r>
    </w:p>
    <w:p w14:paraId="653F37F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3、本合同未尽事宜，双方友好协商，达成解决方案，经合同双方法定代表人或授权代表签字并盖章后，可作为本合同的有效附件。</w:t>
      </w:r>
    </w:p>
    <w:p w14:paraId="2FC6F58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4、附件</w:t>
      </w:r>
    </w:p>
    <w:p w14:paraId="3A820D47">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（1）《乙方工作人员一览表》</w:t>
      </w:r>
    </w:p>
    <w:p w14:paraId="45D7A13F">
      <w:pPr>
        <w:pStyle w:val="2"/>
        <w:spacing w:line="560" w:lineRule="exact"/>
        <w:rPr>
          <w:rFonts w:hint="eastAsia" w:eastAsia="宋体"/>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rPr>
        <w:t xml:space="preserve">  （2）《乙方设备配置情况》</w:t>
      </w:r>
    </w:p>
    <w:p w14:paraId="708AECC6">
      <w:pPr>
        <w:spacing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br w:type="page"/>
      </w:r>
    </w:p>
    <w:p w14:paraId="17F857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（以下无正文，为合同签署页）</w:t>
      </w:r>
    </w:p>
    <w:p w14:paraId="1B5F91C4">
      <w:pPr>
        <w:pStyle w:val="10"/>
        <w:ind w:firstLine="0" w:firstLineChars="0"/>
      </w:pPr>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4C85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14:paraId="5D82F571">
            <w:pPr>
              <w:spacing w:line="360" w:lineRule="auto"/>
              <w:rPr>
                <w:rFonts w:ascii="仿宋" w:hAnsi="仿宋" w:eastAsia="仿宋" w:cs="仿宋"/>
                <w:sz w:val="28"/>
                <w:szCs w:val="28"/>
              </w:rPr>
            </w:pPr>
            <w:r>
              <w:rPr>
                <w:rFonts w:hint="eastAsia" w:ascii="仿宋" w:hAnsi="仿宋" w:eastAsia="仿宋" w:cs="仿宋"/>
                <w:sz w:val="28"/>
                <w:szCs w:val="28"/>
              </w:rPr>
              <w:t>甲方：深圳市新龙观投资发展有限公司（签章）</w:t>
            </w:r>
          </w:p>
        </w:tc>
        <w:tc>
          <w:tcPr>
            <w:tcW w:w="4261" w:type="dxa"/>
            <w:tcBorders>
              <w:tl2br w:val="nil"/>
              <w:tr2bl w:val="nil"/>
            </w:tcBorders>
          </w:tcPr>
          <w:p w14:paraId="564061C3">
            <w:pPr>
              <w:spacing w:line="360" w:lineRule="auto"/>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CN"/>
              </w:rPr>
              <w:t>XXX</w:t>
            </w:r>
            <w:r>
              <w:rPr>
                <w:rFonts w:hint="eastAsia" w:ascii="仿宋" w:hAnsi="仿宋" w:eastAsia="仿宋" w:cs="仿宋"/>
                <w:sz w:val="28"/>
                <w:szCs w:val="28"/>
              </w:rPr>
              <w:t>公司（签章）</w:t>
            </w:r>
          </w:p>
        </w:tc>
      </w:tr>
      <w:tr w14:paraId="2A02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14:paraId="1ECA8329">
            <w:pPr>
              <w:spacing w:line="360" w:lineRule="auto"/>
              <w:rPr>
                <w:rFonts w:ascii="仿宋" w:hAnsi="仿宋" w:eastAsia="仿宋" w:cs="仿宋"/>
                <w:sz w:val="28"/>
                <w:szCs w:val="28"/>
              </w:rPr>
            </w:pPr>
            <w:r>
              <w:rPr>
                <w:rFonts w:hint="eastAsia" w:ascii="仿宋" w:hAnsi="仿宋" w:eastAsia="仿宋" w:cs="仿宋"/>
                <w:sz w:val="28"/>
                <w:szCs w:val="28"/>
              </w:rPr>
              <w:t>地址：深圳市龙华区观湖街道鹭湖社区观盛三路10号龙馨家园A栋2101</w:t>
            </w:r>
          </w:p>
        </w:tc>
        <w:tc>
          <w:tcPr>
            <w:tcW w:w="4261" w:type="dxa"/>
            <w:tcBorders>
              <w:tl2br w:val="nil"/>
              <w:tr2bl w:val="nil"/>
            </w:tcBorders>
          </w:tcPr>
          <w:p w14:paraId="4C535E28">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lang w:val="en-US" w:eastAsia="zh-CN"/>
              </w:rPr>
              <w:t xml:space="preserve"> </w:t>
            </w:r>
          </w:p>
        </w:tc>
      </w:tr>
      <w:tr w14:paraId="698A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Borders>
              <w:tl2br w:val="nil"/>
              <w:tr2bl w:val="nil"/>
            </w:tcBorders>
          </w:tcPr>
          <w:p w14:paraId="60EF2333">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w:t>
            </w:r>
          </w:p>
          <w:p w14:paraId="5233FAB1">
            <w:pPr>
              <w:spacing w:line="360" w:lineRule="auto"/>
              <w:rPr>
                <w:rFonts w:ascii="仿宋" w:hAnsi="仿宋" w:eastAsia="仿宋" w:cs="仿宋"/>
                <w:sz w:val="28"/>
                <w:szCs w:val="28"/>
              </w:rPr>
            </w:pPr>
            <w:r>
              <w:rPr>
                <w:rFonts w:hint="eastAsia" w:ascii="仿宋" w:hAnsi="仿宋" w:eastAsia="仿宋" w:cs="仿宋"/>
                <w:sz w:val="28"/>
                <w:szCs w:val="28"/>
              </w:rPr>
              <w:t>（签章）</w:t>
            </w:r>
          </w:p>
        </w:tc>
        <w:tc>
          <w:tcPr>
            <w:tcW w:w="4261" w:type="dxa"/>
            <w:tcBorders>
              <w:tl2br w:val="nil"/>
              <w:tr2bl w:val="nil"/>
            </w:tcBorders>
          </w:tcPr>
          <w:p w14:paraId="46AEFDFB">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w:t>
            </w:r>
          </w:p>
          <w:p w14:paraId="7900C1F3">
            <w:pPr>
              <w:spacing w:line="360" w:lineRule="auto"/>
              <w:rPr>
                <w:rFonts w:ascii="仿宋" w:hAnsi="仿宋" w:eastAsia="仿宋" w:cs="仿宋"/>
                <w:sz w:val="28"/>
                <w:szCs w:val="28"/>
              </w:rPr>
            </w:pPr>
            <w:r>
              <w:rPr>
                <w:rFonts w:hint="eastAsia" w:ascii="仿宋" w:hAnsi="仿宋" w:eastAsia="仿宋" w:cs="仿宋"/>
                <w:sz w:val="28"/>
                <w:szCs w:val="28"/>
              </w:rPr>
              <w:t>（签章）</w:t>
            </w:r>
          </w:p>
        </w:tc>
      </w:tr>
      <w:tr w14:paraId="6C49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14:paraId="12293849">
            <w:pPr>
              <w:spacing w:line="360" w:lineRule="auto"/>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w:t>
            </w:r>
            <w:r>
              <w:rPr>
                <w:rFonts w:hint="eastAsia" w:ascii="仿宋" w:hAnsi="仿宋" w:eastAsia="仿宋" w:cs="仿宋"/>
                <w:sz w:val="28"/>
                <w:szCs w:val="28"/>
              </w:rPr>
              <w:t>工</w:t>
            </w:r>
          </w:p>
        </w:tc>
        <w:tc>
          <w:tcPr>
            <w:tcW w:w="4261" w:type="dxa"/>
            <w:tcBorders>
              <w:tl2br w:val="nil"/>
              <w:tr2bl w:val="nil"/>
            </w:tcBorders>
          </w:tcPr>
          <w:p w14:paraId="494FF8EE">
            <w:pPr>
              <w:spacing w:line="360" w:lineRule="auto"/>
              <w:rPr>
                <w:rFonts w:ascii="仿宋" w:hAnsi="仿宋" w:eastAsia="仿宋" w:cs="仿宋"/>
                <w:sz w:val="28"/>
                <w:szCs w:val="28"/>
              </w:rPr>
            </w:pPr>
            <w:r>
              <w:rPr>
                <w:rFonts w:hint="eastAsia" w:ascii="仿宋" w:hAnsi="仿宋" w:eastAsia="仿宋" w:cs="仿宋"/>
                <w:sz w:val="28"/>
                <w:szCs w:val="28"/>
              </w:rPr>
              <w:t xml:space="preserve">联系人：  </w:t>
            </w:r>
          </w:p>
        </w:tc>
      </w:tr>
      <w:tr w14:paraId="53C8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14:paraId="47D309B1">
            <w:pPr>
              <w:spacing w:line="360" w:lineRule="auto"/>
              <w:rPr>
                <w:rFonts w:ascii="仿宋" w:hAnsi="仿宋" w:eastAsia="仿宋" w:cs="仿宋"/>
                <w:sz w:val="28"/>
                <w:szCs w:val="28"/>
              </w:rPr>
            </w:pPr>
            <w:r>
              <w:rPr>
                <w:rFonts w:hint="eastAsia" w:ascii="仿宋" w:hAnsi="仿宋" w:eastAsia="仿宋" w:cs="仿宋"/>
                <w:sz w:val="28"/>
                <w:szCs w:val="28"/>
              </w:rPr>
              <w:t>电话：0755-29809916</w:t>
            </w:r>
          </w:p>
        </w:tc>
        <w:tc>
          <w:tcPr>
            <w:tcW w:w="4261" w:type="dxa"/>
            <w:tcBorders>
              <w:tl2br w:val="nil"/>
              <w:tr2bl w:val="nil"/>
            </w:tcBorders>
          </w:tcPr>
          <w:p w14:paraId="4CF771B9">
            <w:pPr>
              <w:spacing w:line="360" w:lineRule="auto"/>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tc>
      </w:tr>
      <w:tr w14:paraId="7CF3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14:paraId="2001A3BB">
            <w:pPr>
              <w:spacing w:line="360" w:lineRule="auto"/>
              <w:rPr>
                <w:rFonts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日 </w:t>
            </w:r>
          </w:p>
        </w:tc>
        <w:tc>
          <w:tcPr>
            <w:tcW w:w="4261" w:type="dxa"/>
            <w:tcBorders>
              <w:tl2br w:val="nil"/>
              <w:tr2bl w:val="nil"/>
            </w:tcBorders>
          </w:tcPr>
          <w:p w14:paraId="2A84669D">
            <w:pPr>
              <w:spacing w:line="360" w:lineRule="auto"/>
              <w:rPr>
                <w:rFonts w:ascii="仿宋" w:hAnsi="仿宋" w:eastAsia="仿宋" w:cs="仿宋"/>
                <w:sz w:val="28"/>
                <w:szCs w:val="28"/>
              </w:rPr>
            </w:pPr>
            <w:r>
              <w:rPr>
                <w:rFonts w:hint="eastAsia" w:ascii="仿宋" w:hAnsi="仿宋" w:eastAsia="仿宋" w:cs="仿宋"/>
                <w:sz w:val="28"/>
                <w:szCs w:val="28"/>
              </w:rPr>
              <w:t>日期：202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日 </w:t>
            </w:r>
          </w:p>
        </w:tc>
      </w:tr>
    </w:tbl>
    <w:p w14:paraId="70F18019">
      <w:r>
        <w:br w:type="page"/>
      </w:r>
    </w:p>
    <w:p w14:paraId="766FBD53">
      <w:pPr>
        <w:spacing w:line="360" w:lineRule="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附件1：《乙方工作人员一览表》</w:t>
      </w:r>
    </w:p>
    <w:tbl>
      <w:tblPr>
        <w:tblStyle w:val="11"/>
        <w:tblW w:w="93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07"/>
        <w:gridCol w:w="1388"/>
        <w:gridCol w:w="2035"/>
        <w:gridCol w:w="1977"/>
        <w:gridCol w:w="1185"/>
        <w:gridCol w:w="698"/>
      </w:tblGrid>
      <w:tr w14:paraId="5D113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855" w:type="dxa"/>
            <w:tcBorders>
              <w:tl2br w:val="nil"/>
              <w:tr2bl w:val="nil"/>
            </w:tcBorders>
            <w:shd w:val="clear" w:color="auto" w:fill="BDD6EE" w:themeFill="accent1" w:themeFillTint="66"/>
            <w:vAlign w:val="center"/>
          </w:tcPr>
          <w:p w14:paraId="3FD238EF">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207" w:type="dxa"/>
            <w:tcBorders>
              <w:tl2br w:val="nil"/>
              <w:tr2bl w:val="nil"/>
            </w:tcBorders>
            <w:shd w:val="clear" w:color="auto" w:fill="BDD6EE" w:themeFill="accent1" w:themeFillTint="66"/>
            <w:vAlign w:val="center"/>
          </w:tcPr>
          <w:p w14:paraId="6575E08B">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姓名</w:t>
            </w:r>
          </w:p>
        </w:tc>
        <w:tc>
          <w:tcPr>
            <w:tcW w:w="1388" w:type="dxa"/>
            <w:tcBorders>
              <w:tl2br w:val="nil"/>
              <w:tr2bl w:val="nil"/>
            </w:tcBorders>
            <w:shd w:val="clear" w:color="auto" w:fill="BDD6EE" w:themeFill="accent1" w:themeFillTint="66"/>
            <w:vAlign w:val="center"/>
          </w:tcPr>
          <w:p w14:paraId="20413A52">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学 历</w:t>
            </w:r>
          </w:p>
        </w:tc>
        <w:tc>
          <w:tcPr>
            <w:tcW w:w="2035" w:type="dxa"/>
            <w:tcBorders>
              <w:tl2br w:val="nil"/>
              <w:tr2bl w:val="nil"/>
            </w:tcBorders>
            <w:shd w:val="clear" w:color="auto" w:fill="BDD6EE" w:themeFill="accent1" w:themeFillTint="66"/>
            <w:vAlign w:val="center"/>
          </w:tcPr>
          <w:p w14:paraId="3118D88C">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拟任本项目职务</w:t>
            </w:r>
          </w:p>
        </w:tc>
        <w:tc>
          <w:tcPr>
            <w:tcW w:w="1977" w:type="dxa"/>
            <w:tcBorders>
              <w:tl2br w:val="nil"/>
              <w:tr2bl w:val="nil"/>
            </w:tcBorders>
            <w:shd w:val="clear" w:color="auto" w:fill="BDD6EE" w:themeFill="accent1" w:themeFillTint="66"/>
            <w:vAlign w:val="center"/>
          </w:tcPr>
          <w:p w14:paraId="2B72E327">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资格证书</w:t>
            </w:r>
          </w:p>
        </w:tc>
        <w:tc>
          <w:tcPr>
            <w:tcW w:w="1185" w:type="dxa"/>
            <w:tcBorders>
              <w:tl2br w:val="nil"/>
              <w:tr2bl w:val="nil"/>
            </w:tcBorders>
            <w:shd w:val="clear" w:color="auto" w:fill="BDD6EE" w:themeFill="accent1" w:themeFillTint="66"/>
            <w:vAlign w:val="center"/>
          </w:tcPr>
          <w:p w14:paraId="65BC9A12">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工作经验</w:t>
            </w:r>
          </w:p>
        </w:tc>
        <w:tc>
          <w:tcPr>
            <w:tcW w:w="698" w:type="dxa"/>
            <w:tcBorders>
              <w:tl2br w:val="nil"/>
              <w:tr2bl w:val="nil"/>
            </w:tcBorders>
            <w:shd w:val="clear" w:color="auto" w:fill="BDD6EE" w:themeFill="accent1" w:themeFillTint="66"/>
            <w:vAlign w:val="center"/>
          </w:tcPr>
          <w:p w14:paraId="0CF97068">
            <w:pPr>
              <w:spacing w:line="2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14:paraId="6CF4C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3BD9FAB8">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07" w:type="dxa"/>
            <w:tcBorders>
              <w:tl2br w:val="nil"/>
              <w:tr2bl w:val="nil"/>
            </w:tcBorders>
            <w:vAlign w:val="center"/>
          </w:tcPr>
          <w:p w14:paraId="1139BCD6">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3C98E18B">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01A27722">
            <w:pPr>
              <w:widowControl/>
              <w:jc w:val="center"/>
              <w:rPr>
                <w:rFonts w:hint="eastAsia" w:ascii="仿宋_GB2312" w:hAnsi="仿宋_GB2312" w:eastAsia="仿宋_GB2312" w:cs="仿宋_GB2312"/>
                <w:sz w:val="24"/>
              </w:rPr>
            </w:pPr>
          </w:p>
        </w:tc>
        <w:tc>
          <w:tcPr>
            <w:tcW w:w="1977" w:type="dxa"/>
            <w:tcBorders>
              <w:tl2br w:val="nil"/>
              <w:tr2bl w:val="nil"/>
            </w:tcBorders>
            <w:vAlign w:val="center"/>
          </w:tcPr>
          <w:p w14:paraId="5402197A">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7DD850AD">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70ABBCCF">
            <w:pPr>
              <w:spacing w:line="300" w:lineRule="exact"/>
              <w:jc w:val="center"/>
              <w:rPr>
                <w:rFonts w:hint="eastAsia" w:ascii="仿宋_GB2312" w:hAnsi="仿宋_GB2312" w:eastAsia="仿宋_GB2312" w:cs="仿宋_GB2312"/>
                <w:sz w:val="24"/>
              </w:rPr>
            </w:pPr>
          </w:p>
        </w:tc>
      </w:tr>
      <w:tr w14:paraId="5500E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3F10F84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07" w:type="dxa"/>
            <w:tcBorders>
              <w:tl2br w:val="nil"/>
              <w:tr2bl w:val="nil"/>
            </w:tcBorders>
            <w:vAlign w:val="center"/>
          </w:tcPr>
          <w:p w14:paraId="1F37AF0C">
            <w:pPr>
              <w:widowControl/>
              <w:spacing w:line="240" w:lineRule="auto"/>
              <w:jc w:val="center"/>
              <w:rPr>
                <w:rFonts w:hint="eastAsia" w:ascii="仿宋_GB2312" w:hAnsi="仿宋_GB2312" w:eastAsia="仿宋_GB2312" w:cs="仿宋_GB2312"/>
                <w:sz w:val="24"/>
              </w:rPr>
            </w:pPr>
          </w:p>
        </w:tc>
        <w:tc>
          <w:tcPr>
            <w:tcW w:w="1388" w:type="dxa"/>
            <w:tcBorders>
              <w:tl2br w:val="nil"/>
              <w:tr2bl w:val="nil"/>
            </w:tcBorders>
            <w:vAlign w:val="center"/>
          </w:tcPr>
          <w:p w14:paraId="7A972DD4">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7D6B7B43">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684E8E9D">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21BD0061">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4A1D7183">
            <w:pPr>
              <w:spacing w:line="300" w:lineRule="exact"/>
              <w:jc w:val="center"/>
              <w:rPr>
                <w:rFonts w:hint="eastAsia" w:ascii="仿宋_GB2312" w:hAnsi="仿宋_GB2312" w:eastAsia="仿宋_GB2312" w:cs="仿宋_GB2312"/>
                <w:sz w:val="24"/>
              </w:rPr>
            </w:pPr>
          </w:p>
        </w:tc>
      </w:tr>
      <w:tr w14:paraId="3D28F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0E72ACA9">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07" w:type="dxa"/>
            <w:tcBorders>
              <w:tl2br w:val="nil"/>
              <w:tr2bl w:val="nil"/>
            </w:tcBorders>
            <w:vAlign w:val="center"/>
          </w:tcPr>
          <w:p w14:paraId="4E8E2B7A">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7AFA6739">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1018D642">
            <w:pPr>
              <w:widowControl/>
              <w:spacing w:line="240" w:lineRule="auto"/>
              <w:jc w:val="center"/>
              <w:rPr>
                <w:rFonts w:hint="eastAsia" w:ascii="仿宋_GB2312" w:hAnsi="仿宋_GB2312" w:eastAsia="仿宋_GB2312" w:cs="仿宋_GB2312"/>
                <w:sz w:val="24"/>
              </w:rPr>
            </w:pPr>
          </w:p>
        </w:tc>
        <w:tc>
          <w:tcPr>
            <w:tcW w:w="1977" w:type="dxa"/>
            <w:tcBorders>
              <w:tl2br w:val="nil"/>
              <w:tr2bl w:val="nil"/>
            </w:tcBorders>
            <w:vAlign w:val="center"/>
          </w:tcPr>
          <w:p w14:paraId="5BC51B1A">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681BD430">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2180B232">
            <w:pPr>
              <w:spacing w:line="300" w:lineRule="exact"/>
              <w:jc w:val="center"/>
              <w:rPr>
                <w:rFonts w:hint="eastAsia" w:ascii="仿宋_GB2312" w:hAnsi="仿宋_GB2312" w:eastAsia="仿宋_GB2312" w:cs="仿宋_GB2312"/>
                <w:sz w:val="24"/>
              </w:rPr>
            </w:pPr>
          </w:p>
        </w:tc>
      </w:tr>
      <w:tr w14:paraId="556E51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47BDA2D4">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07" w:type="dxa"/>
            <w:tcBorders>
              <w:tl2br w:val="nil"/>
              <w:tr2bl w:val="nil"/>
            </w:tcBorders>
            <w:vAlign w:val="center"/>
          </w:tcPr>
          <w:p w14:paraId="0E7FD36D">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37DA2D54">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7D5C9932">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1DB879DF">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440EC3F5">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162A389D">
            <w:pPr>
              <w:spacing w:line="300" w:lineRule="exact"/>
              <w:jc w:val="center"/>
              <w:rPr>
                <w:rFonts w:hint="eastAsia" w:ascii="仿宋_GB2312" w:hAnsi="仿宋_GB2312" w:eastAsia="仿宋_GB2312" w:cs="仿宋_GB2312"/>
                <w:sz w:val="24"/>
              </w:rPr>
            </w:pPr>
          </w:p>
        </w:tc>
      </w:tr>
      <w:tr w14:paraId="293FE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24568BCB">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207" w:type="dxa"/>
            <w:tcBorders>
              <w:tl2br w:val="nil"/>
              <w:tr2bl w:val="nil"/>
            </w:tcBorders>
            <w:vAlign w:val="center"/>
          </w:tcPr>
          <w:p w14:paraId="13B6675D">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7C90D988">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162228C0">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0861A247">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36C93570">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57119BE6">
            <w:pPr>
              <w:spacing w:line="300" w:lineRule="exact"/>
              <w:jc w:val="center"/>
              <w:rPr>
                <w:rFonts w:hint="eastAsia" w:ascii="仿宋_GB2312" w:hAnsi="仿宋_GB2312" w:eastAsia="仿宋_GB2312" w:cs="仿宋_GB2312"/>
                <w:sz w:val="24"/>
              </w:rPr>
            </w:pPr>
          </w:p>
        </w:tc>
      </w:tr>
      <w:tr w14:paraId="684C4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7A7D784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207" w:type="dxa"/>
            <w:tcBorders>
              <w:tl2br w:val="nil"/>
              <w:tr2bl w:val="nil"/>
            </w:tcBorders>
            <w:vAlign w:val="center"/>
          </w:tcPr>
          <w:p w14:paraId="0DDDB1B5">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20A45670">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7DFC0946">
            <w:pPr>
              <w:widowControl/>
              <w:jc w:val="center"/>
              <w:rPr>
                <w:rFonts w:hint="eastAsia" w:ascii="仿宋_GB2312" w:hAnsi="仿宋_GB2312" w:eastAsia="仿宋_GB2312" w:cs="仿宋_GB2312"/>
                <w:sz w:val="24"/>
              </w:rPr>
            </w:pPr>
          </w:p>
        </w:tc>
        <w:tc>
          <w:tcPr>
            <w:tcW w:w="1977" w:type="dxa"/>
            <w:tcBorders>
              <w:tl2br w:val="nil"/>
              <w:tr2bl w:val="nil"/>
            </w:tcBorders>
            <w:vAlign w:val="center"/>
          </w:tcPr>
          <w:p w14:paraId="26B80947">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0CCEFAFB">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061DFC7C">
            <w:pPr>
              <w:spacing w:line="300" w:lineRule="exact"/>
              <w:jc w:val="center"/>
              <w:rPr>
                <w:rFonts w:hint="eastAsia" w:ascii="仿宋_GB2312" w:hAnsi="仿宋_GB2312" w:eastAsia="仿宋_GB2312" w:cs="仿宋_GB2312"/>
                <w:sz w:val="24"/>
              </w:rPr>
            </w:pPr>
          </w:p>
        </w:tc>
      </w:tr>
      <w:tr w14:paraId="09236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5" w:type="dxa"/>
            <w:tcBorders>
              <w:tl2br w:val="nil"/>
              <w:tr2bl w:val="nil"/>
            </w:tcBorders>
            <w:vAlign w:val="center"/>
          </w:tcPr>
          <w:p w14:paraId="58BD6A5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207" w:type="dxa"/>
            <w:tcBorders>
              <w:tl2br w:val="nil"/>
              <w:tr2bl w:val="nil"/>
            </w:tcBorders>
            <w:vAlign w:val="center"/>
          </w:tcPr>
          <w:p w14:paraId="1E595887">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64DFE446">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23D5E110">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69ACCDC0">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18169FAC">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2827F5AF">
            <w:pPr>
              <w:spacing w:line="300" w:lineRule="exact"/>
              <w:jc w:val="center"/>
              <w:rPr>
                <w:rFonts w:hint="eastAsia" w:ascii="仿宋_GB2312" w:hAnsi="仿宋_GB2312" w:eastAsia="仿宋_GB2312" w:cs="仿宋_GB2312"/>
                <w:sz w:val="24"/>
              </w:rPr>
            </w:pPr>
          </w:p>
        </w:tc>
      </w:tr>
      <w:tr w14:paraId="146CE8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3E2878F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207" w:type="dxa"/>
            <w:tcBorders>
              <w:tl2br w:val="nil"/>
              <w:tr2bl w:val="nil"/>
            </w:tcBorders>
            <w:vAlign w:val="center"/>
          </w:tcPr>
          <w:p w14:paraId="6436F084">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45DA281D">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5C520FEB">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159B0BFA">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1EA94C07">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0374E240">
            <w:pPr>
              <w:spacing w:line="300" w:lineRule="exact"/>
              <w:jc w:val="center"/>
              <w:rPr>
                <w:rFonts w:hint="eastAsia" w:ascii="仿宋_GB2312" w:hAnsi="仿宋_GB2312" w:eastAsia="仿宋_GB2312" w:cs="仿宋_GB2312"/>
                <w:sz w:val="24"/>
              </w:rPr>
            </w:pPr>
          </w:p>
        </w:tc>
      </w:tr>
      <w:tr w14:paraId="706FE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4DACA51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1207" w:type="dxa"/>
            <w:tcBorders>
              <w:tl2br w:val="nil"/>
              <w:tr2bl w:val="nil"/>
            </w:tcBorders>
            <w:vAlign w:val="center"/>
          </w:tcPr>
          <w:p w14:paraId="0C792645">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03FC2E39">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1999744B">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6DE9525F">
            <w:pPr>
              <w:widowControl/>
              <w:jc w:val="center"/>
              <w:rPr>
                <w:rFonts w:hint="eastAsia" w:ascii="仿宋_GB2312" w:hAnsi="仿宋_GB2312" w:eastAsia="仿宋_GB2312" w:cs="仿宋_GB2312"/>
                <w:sz w:val="24"/>
              </w:rPr>
            </w:pPr>
          </w:p>
        </w:tc>
        <w:tc>
          <w:tcPr>
            <w:tcW w:w="1185" w:type="dxa"/>
            <w:tcBorders>
              <w:tl2br w:val="nil"/>
              <w:tr2bl w:val="nil"/>
            </w:tcBorders>
            <w:vAlign w:val="center"/>
          </w:tcPr>
          <w:p w14:paraId="3CC78658">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7187A71C">
            <w:pPr>
              <w:spacing w:line="300" w:lineRule="exact"/>
              <w:jc w:val="center"/>
              <w:rPr>
                <w:rFonts w:hint="eastAsia" w:ascii="仿宋_GB2312" w:hAnsi="仿宋_GB2312" w:eastAsia="仿宋_GB2312" w:cs="仿宋_GB2312"/>
                <w:sz w:val="24"/>
              </w:rPr>
            </w:pPr>
          </w:p>
        </w:tc>
      </w:tr>
      <w:tr w14:paraId="13B456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7B6BFF1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207" w:type="dxa"/>
            <w:tcBorders>
              <w:tl2br w:val="nil"/>
              <w:tr2bl w:val="nil"/>
            </w:tcBorders>
            <w:vAlign w:val="center"/>
          </w:tcPr>
          <w:p w14:paraId="3D612D1D">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7E31D39A">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4646C7D0">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6431EBA3">
            <w:pPr>
              <w:widowControl/>
              <w:jc w:val="center"/>
              <w:rPr>
                <w:rFonts w:hint="eastAsia" w:ascii="仿宋_GB2312" w:hAnsi="仿宋_GB2312" w:eastAsia="仿宋_GB2312" w:cs="仿宋_GB2312"/>
                <w:b/>
                <w:bCs/>
                <w:sz w:val="24"/>
              </w:rPr>
            </w:pPr>
          </w:p>
        </w:tc>
        <w:tc>
          <w:tcPr>
            <w:tcW w:w="1185" w:type="dxa"/>
            <w:tcBorders>
              <w:tl2br w:val="nil"/>
              <w:tr2bl w:val="nil"/>
            </w:tcBorders>
            <w:vAlign w:val="center"/>
          </w:tcPr>
          <w:p w14:paraId="46215DB5">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2973D32C">
            <w:pPr>
              <w:spacing w:line="300" w:lineRule="exact"/>
              <w:jc w:val="center"/>
              <w:rPr>
                <w:rFonts w:hint="eastAsia" w:ascii="仿宋_GB2312" w:hAnsi="仿宋_GB2312" w:eastAsia="仿宋_GB2312" w:cs="仿宋_GB2312"/>
                <w:sz w:val="24"/>
              </w:rPr>
            </w:pPr>
          </w:p>
        </w:tc>
      </w:tr>
      <w:tr w14:paraId="0E323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33E211C8">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1207" w:type="dxa"/>
            <w:tcBorders>
              <w:tl2br w:val="nil"/>
              <w:tr2bl w:val="nil"/>
            </w:tcBorders>
            <w:vAlign w:val="center"/>
          </w:tcPr>
          <w:p w14:paraId="7F9FAF5C">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1D250856">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64645F92">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2F794BE0">
            <w:pPr>
              <w:spacing w:line="300" w:lineRule="exact"/>
              <w:jc w:val="center"/>
              <w:rPr>
                <w:rFonts w:hint="eastAsia" w:ascii="仿宋_GB2312" w:hAnsi="仿宋_GB2312" w:eastAsia="仿宋_GB2312" w:cs="仿宋_GB2312"/>
                <w:b/>
                <w:bCs/>
                <w:sz w:val="24"/>
              </w:rPr>
            </w:pPr>
          </w:p>
        </w:tc>
        <w:tc>
          <w:tcPr>
            <w:tcW w:w="1185" w:type="dxa"/>
            <w:tcBorders>
              <w:tl2br w:val="nil"/>
              <w:tr2bl w:val="nil"/>
            </w:tcBorders>
            <w:vAlign w:val="center"/>
          </w:tcPr>
          <w:p w14:paraId="75E2F8D3">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75B8A074">
            <w:pPr>
              <w:spacing w:line="300" w:lineRule="exact"/>
              <w:jc w:val="center"/>
              <w:rPr>
                <w:rFonts w:hint="eastAsia" w:ascii="仿宋_GB2312" w:hAnsi="仿宋_GB2312" w:eastAsia="仿宋_GB2312" w:cs="仿宋_GB2312"/>
                <w:sz w:val="24"/>
              </w:rPr>
            </w:pPr>
          </w:p>
        </w:tc>
      </w:tr>
      <w:tr w14:paraId="06C81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30753EC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1207" w:type="dxa"/>
            <w:tcBorders>
              <w:tl2br w:val="nil"/>
              <w:tr2bl w:val="nil"/>
            </w:tcBorders>
            <w:vAlign w:val="center"/>
          </w:tcPr>
          <w:p w14:paraId="7FB7C5FF">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09E716F0">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52B8F618">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20FCD5A2">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5BDF5268">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5B086D44">
            <w:pPr>
              <w:spacing w:line="300" w:lineRule="exact"/>
              <w:jc w:val="center"/>
              <w:rPr>
                <w:rFonts w:hint="eastAsia" w:ascii="仿宋_GB2312" w:hAnsi="仿宋_GB2312" w:eastAsia="仿宋_GB2312" w:cs="仿宋_GB2312"/>
                <w:sz w:val="24"/>
              </w:rPr>
            </w:pPr>
          </w:p>
        </w:tc>
      </w:tr>
      <w:tr w14:paraId="3B81E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1318F83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1207" w:type="dxa"/>
            <w:tcBorders>
              <w:tl2br w:val="nil"/>
              <w:tr2bl w:val="nil"/>
            </w:tcBorders>
            <w:vAlign w:val="center"/>
          </w:tcPr>
          <w:p w14:paraId="56E62A6B">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1BA14020">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66819D89">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43CDDF54">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32D5891A">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56B21730">
            <w:pPr>
              <w:spacing w:line="300" w:lineRule="exact"/>
              <w:jc w:val="center"/>
              <w:rPr>
                <w:rFonts w:hint="eastAsia" w:ascii="仿宋_GB2312" w:hAnsi="仿宋_GB2312" w:eastAsia="仿宋_GB2312" w:cs="仿宋_GB2312"/>
                <w:sz w:val="24"/>
              </w:rPr>
            </w:pPr>
          </w:p>
        </w:tc>
      </w:tr>
      <w:tr w14:paraId="02F01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27F6C4D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1207" w:type="dxa"/>
            <w:tcBorders>
              <w:tl2br w:val="nil"/>
              <w:tr2bl w:val="nil"/>
            </w:tcBorders>
            <w:vAlign w:val="center"/>
          </w:tcPr>
          <w:p w14:paraId="112FEFE5">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79A325EF">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70CDAE79">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39E3DD39">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485ED69D">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2C82F313">
            <w:pPr>
              <w:spacing w:line="300" w:lineRule="exact"/>
              <w:jc w:val="center"/>
              <w:rPr>
                <w:rFonts w:hint="eastAsia" w:ascii="仿宋_GB2312" w:hAnsi="仿宋_GB2312" w:eastAsia="仿宋_GB2312" w:cs="仿宋_GB2312"/>
                <w:sz w:val="24"/>
              </w:rPr>
            </w:pPr>
          </w:p>
        </w:tc>
      </w:tr>
      <w:tr w14:paraId="3DCB0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04BD683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207" w:type="dxa"/>
            <w:tcBorders>
              <w:tl2br w:val="nil"/>
              <w:tr2bl w:val="nil"/>
            </w:tcBorders>
            <w:vAlign w:val="center"/>
          </w:tcPr>
          <w:p w14:paraId="5F1CFE70">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53E7B8A9">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644BA985">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30649560">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02DAEB8B">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5FEC1CE1">
            <w:pPr>
              <w:spacing w:line="300" w:lineRule="exact"/>
              <w:jc w:val="center"/>
              <w:rPr>
                <w:rFonts w:hint="eastAsia" w:ascii="仿宋_GB2312" w:hAnsi="仿宋_GB2312" w:eastAsia="仿宋_GB2312" w:cs="仿宋_GB2312"/>
                <w:sz w:val="24"/>
              </w:rPr>
            </w:pPr>
          </w:p>
        </w:tc>
      </w:tr>
      <w:tr w14:paraId="0DB2E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1B83D643">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1207" w:type="dxa"/>
            <w:tcBorders>
              <w:tl2br w:val="nil"/>
              <w:tr2bl w:val="nil"/>
            </w:tcBorders>
            <w:vAlign w:val="center"/>
          </w:tcPr>
          <w:p w14:paraId="66E226C0">
            <w:pPr>
              <w:widowControl/>
              <w:jc w:val="center"/>
              <w:rPr>
                <w:rFonts w:hint="eastAsia" w:ascii="仿宋_GB2312" w:hAnsi="仿宋_GB2312" w:eastAsia="仿宋_GB2312" w:cs="仿宋_GB2312"/>
                <w:sz w:val="24"/>
              </w:rPr>
            </w:pPr>
          </w:p>
        </w:tc>
        <w:tc>
          <w:tcPr>
            <w:tcW w:w="1388" w:type="dxa"/>
            <w:tcBorders>
              <w:tl2br w:val="nil"/>
              <w:tr2bl w:val="nil"/>
            </w:tcBorders>
            <w:vAlign w:val="center"/>
          </w:tcPr>
          <w:p w14:paraId="132D4EB3">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4BB17776">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0FE95E22">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0C4C6DC1">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03C1971C">
            <w:pPr>
              <w:spacing w:line="300" w:lineRule="exact"/>
              <w:jc w:val="center"/>
              <w:rPr>
                <w:rFonts w:hint="eastAsia" w:ascii="仿宋_GB2312" w:hAnsi="仿宋_GB2312" w:eastAsia="仿宋_GB2312" w:cs="仿宋_GB2312"/>
                <w:sz w:val="24"/>
              </w:rPr>
            </w:pPr>
          </w:p>
        </w:tc>
      </w:tr>
      <w:tr w14:paraId="705E9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 w:type="dxa"/>
            <w:tcBorders>
              <w:tl2br w:val="nil"/>
              <w:tr2bl w:val="nil"/>
            </w:tcBorders>
            <w:vAlign w:val="center"/>
          </w:tcPr>
          <w:p w14:paraId="1383B9C2">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1207" w:type="dxa"/>
            <w:tcBorders>
              <w:tl2br w:val="nil"/>
              <w:tr2bl w:val="nil"/>
            </w:tcBorders>
            <w:vAlign w:val="center"/>
          </w:tcPr>
          <w:p w14:paraId="328F4ADE">
            <w:pPr>
              <w:widowControl/>
              <w:jc w:val="left"/>
              <w:rPr>
                <w:rFonts w:hint="eastAsia" w:ascii="仿宋_GB2312" w:hAnsi="仿宋_GB2312" w:eastAsia="仿宋_GB2312" w:cs="仿宋_GB2312"/>
                <w:sz w:val="24"/>
              </w:rPr>
            </w:pPr>
          </w:p>
        </w:tc>
        <w:tc>
          <w:tcPr>
            <w:tcW w:w="1388" w:type="dxa"/>
            <w:tcBorders>
              <w:tl2br w:val="nil"/>
              <w:tr2bl w:val="nil"/>
            </w:tcBorders>
            <w:vAlign w:val="center"/>
          </w:tcPr>
          <w:p w14:paraId="65CC2567">
            <w:pPr>
              <w:spacing w:line="300" w:lineRule="exact"/>
              <w:jc w:val="center"/>
              <w:rPr>
                <w:rFonts w:hint="eastAsia" w:ascii="仿宋_GB2312" w:hAnsi="仿宋_GB2312" w:eastAsia="仿宋_GB2312" w:cs="仿宋_GB2312"/>
                <w:sz w:val="24"/>
              </w:rPr>
            </w:pPr>
          </w:p>
        </w:tc>
        <w:tc>
          <w:tcPr>
            <w:tcW w:w="2035" w:type="dxa"/>
            <w:tcBorders>
              <w:tl2br w:val="nil"/>
              <w:tr2bl w:val="nil"/>
            </w:tcBorders>
            <w:vAlign w:val="center"/>
          </w:tcPr>
          <w:p w14:paraId="61D83B5E">
            <w:pPr>
              <w:spacing w:line="300" w:lineRule="exact"/>
              <w:jc w:val="center"/>
              <w:rPr>
                <w:rFonts w:hint="eastAsia" w:ascii="仿宋_GB2312" w:hAnsi="仿宋_GB2312" w:eastAsia="仿宋_GB2312" w:cs="仿宋_GB2312"/>
                <w:sz w:val="24"/>
              </w:rPr>
            </w:pPr>
          </w:p>
        </w:tc>
        <w:tc>
          <w:tcPr>
            <w:tcW w:w="1977" w:type="dxa"/>
            <w:tcBorders>
              <w:tl2br w:val="nil"/>
              <w:tr2bl w:val="nil"/>
            </w:tcBorders>
            <w:vAlign w:val="center"/>
          </w:tcPr>
          <w:p w14:paraId="2713A57C">
            <w:pPr>
              <w:spacing w:line="300" w:lineRule="exact"/>
              <w:jc w:val="center"/>
              <w:rPr>
                <w:rFonts w:hint="eastAsia" w:ascii="仿宋_GB2312" w:hAnsi="仿宋_GB2312" w:eastAsia="仿宋_GB2312" w:cs="仿宋_GB2312"/>
                <w:sz w:val="24"/>
              </w:rPr>
            </w:pPr>
          </w:p>
        </w:tc>
        <w:tc>
          <w:tcPr>
            <w:tcW w:w="1185" w:type="dxa"/>
            <w:tcBorders>
              <w:tl2br w:val="nil"/>
              <w:tr2bl w:val="nil"/>
            </w:tcBorders>
            <w:vAlign w:val="center"/>
          </w:tcPr>
          <w:p w14:paraId="1242511F">
            <w:pPr>
              <w:spacing w:line="300" w:lineRule="exact"/>
              <w:jc w:val="center"/>
              <w:rPr>
                <w:rFonts w:hint="eastAsia" w:ascii="仿宋_GB2312" w:hAnsi="仿宋_GB2312" w:eastAsia="仿宋_GB2312" w:cs="仿宋_GB2312"/>
                <w:sz w:val="24"/>
              </w:rPr>
            </w:pPr>
          </w:p>
        </w:tc>
        <w:tc>
          <w:tcPr>
            <w:tcW w:w="698" w:type="dxa"/>
            <w:tcBorders>
              <w:tl2br w:val="nil"/>
              <w:tr2bl w:val="nil"/>
            </w:tcBorders>
            <w:vAlign w:val="center"/>
          </w:tcPr>
          <w:p w14:paraId="3E6A60B2">
            <w:pPr>
              <w:spacing w:line="300" w:lineRule="exact"/>
              <w:jc w:val="center"/>
              <w:rPr>
                <w:rFonts w:hint="eastAsia" w:ascii="仿宋_GB2312" w:hAnsi="仿宋_GB2312" w:eastAsia="仿宋_GB2312" w:cs="仿宋_GB2312"/>
                <w:sz w:val="24"/>
              </w:rPr>
            </w:pPr>
          </w:p>
        </w:tc>
      </w:tr>
    </w:tbl>
    <w:p w14:paraId="39CD4930">
      <w:pPr>
        <w:rPr>
          <w:rFonts w:hint="eastAsia" w:ascii="仿宋_GB2312" w:hAnsi="仿宋_GB2312" w:eastAsia="仿宋_GB2312" w:cs="仿宋_GB2312"/>
          <w:b w:val="0"/>
          <w:bCs w:val="0"/>
          <w:sz w:val="28"/>
          <w:szCs w:val="28"/>
        </w:rPr>
      </w:pPr>
    </w:p>
    <w:p w14:paraId="3E6AA031">
      <w:pPr>
        <w:pStyle w:val="2"/>
        <w:rPr>
          <w:rFonts w:hint="eastAsia"/>
        </w:rPr>
      </w:pPr>
    </w:p>
    <w:p w14:paraId="42851660">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附件2：《乙方设备配置情况》</w:t>
      </w:r>
    </w:p>
    <w:tbl>
      <w:tblPr>
        <w:tblStyle w:val="11"/>
        <w:tblW w:w="100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815"/>
        <w:gridCol w:w="1710"/>
        <w:gridCol w:w="1020"/>
        <w:gridCol w:w="1635"/>
        <w:gridCol w:w="1605"/>
        <w:gridCol w:w="1421"/>
      </w:tblGrid>
      <w:tr w14:paraId="7F0A4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12" w:space="0"/>
              <w:left w:val="single" w:color="auto" w:sz="12" w:space="0"/>
              <w:bottom w:val="single" w:color="auto" w:sz="6" w:space="0"/>
              <w:right w:val="single" w:color="auto" w:sz="6" w:space="0"/>
            </w:tcBorders>
            <w:shd w:val="clear" w:color="auto" w:fill="EAF1DD"/>
            <w:vAlign w:val="center"/>
          </w:tcPr>
          <w:p w14:paraId="56E8DD97">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br w:type="page"/>
            </w:r>
            <w:r>
              <w:rPr>
                <w:rFonts w:hint="eastAsia" w:ascii="仿宋_GB2312" w:hAnsi="仿宋_GB2312" w:eastAsia="仿宋_GB2312" w:cs="仿宋_GB2312"/>
                <w:color w:val="000000"/>
                <w:kern w:val="0"/>
                <w:sz w:val="24"/>
                <w:lang w:bidi="ar"/>
              </w:rPr>
              <w:t>序号</w:t>
            </w:r>
          </w:p>
        </w:tc>
        <w:tc>
          <w:tcPr>
            <w:tcW w:w="1815" w:type="dxa"/>
            <w:tcBorders>
              <w:top w:val="single" w:color="auto" w:sz="12" w:space="0"/>
              <w:left w:val="nil"/>
              <w:bottom w:val="single" w:color="auto" w:sz="6" w:space="0"/>
              <w:right w:val="single" w:color="auto" w:sz="6" w:space="0"/>
            </w:tcBorders>
            <w:shd w:val="clear" w:color="auto" w:fill="EAF1DD"/>
            <w:vAlign w:val="center"/>
          </w:tcPr>
          <w:p w14:paraId="5D955C0A">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设备名称</w:t>
            </w:r>
          </w:p>
        </w:tc>
        <w:tc>
          <w:tcPr>
            <w:tcW w:w="1710" w:type="dxa"/>
            <w:tcBorders>
              <w:top w:val="single" w:color="auto" w:sz="12" w:space="0"/>
              <w:left w:val="nil"/>
              <w:bottom w:val="single" w:color="auto" w:sz="6" w:space="0"/>
              <w:right w:val="single" w:color="auto" w:sz="6" w:space="0"/>
            </w:tcBorders>
            <w:shd w:val="clear" w:color="auto" w:fill="EAF1DD"/>
            <w:vAlign w:val="center"/>
          </w:tcPr>
          <w:p w14:paraId="2231B61C">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规格型号</w:t>
            </w:r>
          </w:p>
        </w:tc>
        <w:tc>
          <w:tcPr>
            <w:tcW w:w="1020" w:type="dxa"/>
            <w:tcBorders>
              <w:top w:val="single" w:color="auto" w:sz="12" w:space="0"/>
              <w:left w:val="nil"/>
              <w:bottom w:val="single" w:color="auto" w:sz="6" w:space="0"/>
              <w:right w:val="single" w:color="auto" w:sz="6" w:space="0"/>
            </w:tcBorders>
            <w:shd w:val="clear" w:color="auto" w:fill="EAF1DD"/>
            <w:vAlign w:val="center"/>
          </w:tcPr>
          <w:p w14:paraId="01D96804">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数量</w:t>
            </w:r>
          </w:p>
        </w:tc>
        <w:tc>
          <w:tcPr>
            <w:tcW w:w="1635" w:type="dxa"/>
            <w:tcBorders>
              <w:top w:val="single" w:color="auto" w:sz="12" w:space="0"/>
              <w:left w:val="nil"/>
              <w:bottom w:val="single" w:color="auto" w:sz="6" w:space="0"/>
              <w:right w:val="single" w:color="auto" w:sz="6" w:space="0"/>
            </w:tcBorders>
            <w:shd w:val="clear" w:color="auto" w:fill="EAF1DD"/>
            <w:vAlign w:val="center"/>
          </w:tcPr>
          <w:p w14:paraId="778E83E2">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用途</w:t>
            </w:r>
          </w:p>
        </w:tc>
        <w:tc>
          <w:tcPr>
            <w:tcW w:w="1605" w:type="dxa"/>
            <w:tcBorders>
              <w:top w:val="single" w:color="auto" w:sz="12" w:space="0"/>
              <w:left w:val="nil"/>
              <w:bottom w:val="single" w:color="auto" w:sz="6" w:space="0"/>
              <w:right w:val="single" w:color="auto" w:sz="6" w:space="0"/>
            </w:tcBorders>
            <w:shd w:val="clear" w:color="auto" w:fill="EAF1DD"/>
            <w:vAlign w:val="center"/>
          </w:tcPr>
          <w:p w14:paraId="6B1A2EE2">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设备状况</w:t>
            </w:r>
          </w:p>
        </w:tc>
        <w:tc>
          <w:tcPr>
            <w:tcW w:w="1421" w:type="dxa"/>
            <w:tcBorders>
              <w:top w:val="single" w:color="auto" w:sz="12" w:space="0"/>
              <w:left w:val="nil"/>
              <w:bottom w:val="single" w:color="auto" w:sz="6" w:space="0"/>
              <w:right w:val="single" w:color="auto" w:sz="12" w:space="0"/>
            </w:tcBorders>
            <w:shd w:val="clear" w:color="auto" w:fill="EAF1DD"/>
            <w:vAlign w:val="center"/>
          </w:tcPr>
          <w:p w14:paraId="5768E392">
            <w:pPr>
              <w:widowControl/>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备注</w:t>
            </w:r>
          </w:p>
        </w:tc>
      </w:tr>
      <w:tr w14:paraId="4D1F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66CDFBEC">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4C70796A">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15AD22EE">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0DDEA51C">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4606A0DC">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6301942F">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389E271E">
            <w:pPr>
              <w:widowControl/>
              <w:jc w:val="center"/>
              <w:rPr>
                <w:rFonts w:hint="eastAsia" w:ascii="仿宋_GB2312" w:hAnsi="仿宋_GB2312" w:eastAsia="仿宋_GB2312" w:cs="仿宋_GB2312"/>
                <w:color w:val="000000"/>
                <w:kern w:val="0"/>
                <w:sz w:val="24"/>
                <w:lang w:bidi="ar"/>
              </w:rPr>
            </w:pPr>
          </w:p>
        </w:tc>
      </w:tr>
      <w:tr w14:paraId="36E23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1AD2FD3F">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4F3D81FB">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6DA7D0D6">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6E1E3141">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041018A0">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05E9498D">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0D260F17">
            <w:pPr>
              <w:widowControl/>
              <w:jc w:val="center"/>
              <w:rPr>
                <w:rFonts w:hint="eastAsia" w:ascii="仿宋_GB2312" w:hAnsi="仿宋_GB2312" w:eastAsia="仿宋_GB2312" w:cs="仿宋_GB2312"/>
                <w:color w:val="000000"/>
                <w:kern w:val="0"/>
                <w:sz w:val="24"/>
                <w:lang w:bidi="ar"/>
              </w:rPr>
            </w:pPr>
          </w:p>
        </w:tc>
      </w:tr>
      <w:tr w14:paraId="7D73B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5922E57B">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6D8ADEF6">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5679C6C7">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56AEE1CE">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61BC716B">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1910AA31">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62C1C34A">
            <w:pPr>
              <w:widowControl/>
              <w:jc w:val="center"/>
              <w:rPr>
                <w:rFonts w:hint="eastAsia" w:ascii="仿宋_GB2312" w:hAnsi="仿宋_GB2312" w:eastAsia="仿宋_GB2312" w:cs="仿宋_GB2312"/>
                <w:color w:val="000000"/>
                <w:kern w:val="0"/>
                <w:sz w:val="24"/>
                <w:lang w:bidi="ar"/>
              </w:rPr>
            </w:pPr>
          </w:p>
        </w:tc>
      </w:tr>
      <w:tr w14:paraId="7F84C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1CDBBDE0">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15C364F8">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12C62012">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2D3FE00A">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4CAABE39">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57BD16ED">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535800DD">
            <w:pPr>
              <w:widowControl/>
              <w:jc w:val="center"/>
              <w:rPr>
                <w:rFonts w:hint="eastAsia" w:ascii="仿宋_GB2312" w:hAnsi="仿宋_GB2312" w:eastAsia="仿宋_GB2312" w:cs="仿宋_GB2312"/>
                <w:color w:val="000000"/>
                <w:kern w:val="0"/>
                <w:sz w:val="24"/>
                <w:lang w:bidi="ar"/>
              </w:rPr>
            </w:pPr>
          </w:p>
        </w:tc>
      </w:tr>
      <w:tr w14:paraId="48A63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48BE06F5">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5885EAC7">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4E5C9348">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04C202D6">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3EB7693D">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34F32B4D">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6E4572AA">
            <w:pPr>
              <w:widowControl/>
              <w:jc w:val="center"/>
              <w:rPr>
                <w:rFonts w:hint="eastAsia" w:ascii="仿宋_GB2312" w:hAnsi="仿宋_GB2312" w:eastAsia="仿宋_GB2312" w:cs="仿宋_GB2312"/>
                <w:color w:val="000000"/>
                <w:kern w:val="0"/>
                <w:sz w:val="24"/>
                <w:lang w:bidi="ar"/>
              </w:rPr>
            </w:pPr>
          </w:p>
        </w:tc>
      </w:tr>
      <w:tr w14:paraId="3A28C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5EB12043">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759D63BF">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648C8084">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4D3274EA">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22F06D0E">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5E992172">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798B68C8">
            <w:pPr>
              <w:widowControl/>
              <w:jc w:val="center"/>
              <w:rPr>
                <w:rFonts w:hint="eastAsia" w:ascii="仿宋_GB2312" w:hAnsi="仿宋_GB2312" w:eastAsia="仿宋_GB2312" w:cs="仿宋_GB2312"/>
                <w:color w:val="000000"/>
                <w:kern w:val="0"/>
                <w:sz w:val="24"/>
                <w:lang w:bidi="ar"/>
              </w:rPr>
            </w:pPr>
          </w:p>
        </w:tc>
      </w:tr>
      <w:tr w14:paraId="59895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693479A1">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5B6DCFFB">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656C6B6B">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1D80A219">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5C9A2602">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39CFCAC9">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17B8DFDC">
            <w:pPr>
              <w:widowControl/>
              <w:jc w:val="center"/>
              <w:rPr>
                <w:rFonts w:hint="eastAsia" w:ascii="仿宋_GB2312" w:hAnsi="仿宋_GB2312" w:eastAsia="仿宋_GB2312" w:cs="仿宋_GB2312"/>
                <w:color w:val="000000"/>
                <w:kern w:val="0"/>
                <w:sz w:val="24"/>
                <w:lang w:bidi="ar"/>
              </w:rPr>
            </w:pPr>
          </w:p>
        </w:tc>
      </w:tr>
      <w:tr w14:paraId="6A598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4B0897A8">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72D25F47">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12A4BBCF">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1118538B">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5897D1C6">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1A105E6D">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7C5202E0">
            <w:pPr>
              <w:widowControl/>
              <w:jc w:val="center"/>
              <w:rPr>
                <w:rFonts w:hint="eastAsia" w:ascii="仿宋_GB2312" w:hAnsi="仿宋_GB2312" w:eastAsia="仿宋_GB2312" w:cs="仿宋_GB2312"/>
                <w:color w:val="000000"/>
                <w:kern w:val="0"/>
                <w:sz w:val="24"/>
                <w:lang w:bidi="ar"/>
              </w:rPr>
            </w:pPr>
          </w:p>
        </w:tc>
      </w:tr>
      <w:tr w14:paraId="58EA6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6BF03375">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00B67A50">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577BA62A">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612E21E5">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4D40F7C8">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7139022C">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3DAC9F48">
            <w:pPr>
              <w:widowControl/>
              <w:jc w:val="center"/>
              <w:rPr>
                <w:rFonts w:hint="eastAsia" w:ascii="仿宋_GB2312" w:hAnsi="仿宋_GB2312" w:eastAsia="仿宋_GB2312" w:cs="仿宋_GB2312"/>
                <w:color w:val="000000"/>
                <w:kern w:val="0"/>
                <w:sz w:val="24"/>
                <w:lang w:bidi="ar"/>
              </w:rPr>
            </w:pPr>
          </w:p>
        </w:tc>
      </w:tr>
      <w:tr w14:paraId="701DD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3EFB7124">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3C4344B8">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762FC126">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3F12E8F8">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028E1944">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781B9AD9">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4F7C916F">
            <w:pPr>
              <w:widowControl/>
              <w:jc w:val="center"/>
              <w:rPr>
                <w:rFonts w:hint="eastAsia" w:ascii="仿宋_GB2312" w:hAnsi="仿宋_GB2312" w:eastAsia="仿宋_GB2312" w:cs="仿宋_GB2312"/>
                <w:color w:val="000000"/>
                <w:kern w:val="0"/>
                <w:sz w:val="24"/>
                <w:lang w:bidi="ar"/>
              </w:rPr>
            </w:pPr>
          </w:p>
        </w:tc>
      </w:tr>
      <w:tr w14:paraId="2DC91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15846E87">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003CBC35">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6CF80E15">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5F64D1B8">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056B6D10">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4ED1A6A7">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49A16D38">
            <w:pPr>
              <w:widowControl/>
              <w:jc w:val="center"/>
              <w:rPr>
                <w:rFonts w:hint="eastAsia" w:ascii="仿宋_GB2312" w:hAnsi="仿宋_GB2312" w:eastAsia="仿宋_GB2312" w:cs="仿宋_GB2312"/>
                <w:color w:val="000000"/>
                <w:kern w:val="0"/>
                <w:sz w:val="24"/>
                <w:lang w:bidi="ar"/>
              </w:rPr>
            </w:pPr>
          </w:p>
        </w:tc>
      </w:tr>
      <w:tr w14:paraId="2AA3E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2" w:type="dxa"/>
            <w:tcBorders>
              <w:top w:val="single" w:color="auto" w:sz="6" w:space="0"/>
              <w:left w:val="single" w:color="auto" w:sz="12" w:space="0"/>
              <w:bottom w:val="single" w:color="auto" w:sz="6" w:space="0"/>
              <w:right w:val="single" w:color="auto" w:sz="6" w:space="0"/>
            </w:tcBorders>
            <w:vAlign w:val="center"/>
          </w:tcPr>
          <w:p w14:paraId="2C1FFF34">
            <w:pPr>
              <w:widowControl/>
              <w:jc w:val="center"/>
              <w:rPr>
                <w:rFonts w:hint="eastAsia" w:ascii="仿宋_GB2312" w:hAnsi="仿宋_GB2312" w:eastAsia="仿宋_GB2312" w:cs="仿宋_GB2312"/>
                <w:color w:val="000000"/>
                <w:kern w:val="0"/>
                <w:sz w:val="24"/>
                <w:lang w:bidi="ar"/>
              </w:rPr>
            </w:pPr>
          </w:p>
        </w:tc>
        <w:tc>
          <w:tcPr>
            <w:tcW w:w="1815" w:type="dxa"/>
            <w:tcBorders>
              <w:top w:val="single" w:color="auto" w:sz="6" w:space="0"/>
              <w:left w:val="nil"/>
              <w:bottom w:val="single" w:color="auto" w:sz="6" w:space="0"/>
              <w:right w:val="single" w:color="auto" w:sz="6" w:space="0"/>
            </w:tcBorders>
            <w:vAlign w:val="center"/>
          </w:tcPr>
          <w:p w14:paraId="0A0E1021">
            <w:pPr>
              <w:widowControl/>
              <w:jc w:val="center"/>
              <w:rPr>
                <w:rFonts w:hint="eastAsia" w:ascii="仿宋_GB2312" w:hAnsi="仿宋_GB2312" w:eastAsia="仿宋_GB2312" w:cs="仿宋_GB2312"/>
                <w:color w:val="000000"/>
                <w:kern w:val="0"/>
                <w:sz w:val="24"/>
                <w:lang w:bidi="ar"/>
              </w:rPr>
            </w:pPr>
          </w:p>
        </w:tc>
        <w:tc>
          <w:tcPr>
            <w:tcW w:w="1710" w:type="dxa"/>
            <w:tcBorders>
              <w:top w:val="single" w:color="auto" w:sz="6" w:space="0"/>
              <w:left w:val="nil"/>
              <w:bottom w:val="single" w:color="auto" w:sz="6" w:space="0"/>
              <w:right w:val="single" w:color="auto" w:sz="6" w:space="0"/>
            </w:tcBorders>
            <w:vAlign w:val="center"/>
          </w:tcPr>
          <w:p w14:paraId="4A82A8FA">
            <w:pPr>
              <w:widowControl/>
              <w:jc w:val="center"/>
              <w:rPr>
                <w:rFonts w:hint="eastAsia" w:ascii="仿宋_GB2312" w:hAnsi="仿宋_GB2312" w:eastAsia="仿宋_GB2312" w:cs="仿宋_GB2312"/>
                <w:color w:val="000000"/>
                <w:kern w:val="0"/>
                <w:sz w:val="24"/>
                <w:lang w:bidi="ar"/>
              </w:rPr>
            </w:pPr>
          </w:p>
        </w:tc>
        <w:tc>
          <w:tcPr>
            <w:tcW w:w="1020" w:type="dxa"/>
            <w:tcBorders>
              <w:top w:val="single" w:color="auto" w:sz="6" w:space="0"/>
              <w:left w:val="nil"/>
              <w:bottom w:val="single" w:color="auto" w:sz="6" w:space="0"/>
              <w:right w:val="single" w:color="auto" w:sz="6" w:space="0"/>
            </w:tcBorders>
            <w:vAlign w:val="center"/>
          </w:tcPr>
          <w:p w14:paraId="7988AA8E">
            <w:pPr>
              <w:widowControl/>
              <w:jc w:val="center"/>
              <w:rPr>
                <w:rFonts w:hint="eastAsia" w:ascii="仿宋_GB2312" w:hAnsi="仿宋_GB2312" w:eastAsia="仿宋_GB2312" w:cs="仿宋_GB2312"/>
                <w:color w:val="000000"/>
                <w:kern w:val="0"/>
                <w:sz w:val="24"/>
                <w:lang w:bidi="ar"/>
              </w:rPr>
            </w:pPr>
          </w:p>
        </w:tc>
        <w:tc>
          <w:tcPr>
            <w:tcW w:w="1635" w:type="dxa"/>
            <w:tcBorders>
              <w:top w:val="single" w:color="auto" w:sz="6" w:space="0"/>
              <w:left w:val="nil"/>
              <w:bottom w:val="single" w:color="auto" w:sz="6" w:space="0"/>
              <w:right w:val="single" w:color="auto" w:sz="6" w:space="0"/>
            </w:tcBorders>
            <w:vAlign w:val="center"/>
          </w:tcPr>
          <w:p w14:paraId="0E904003">
            <w:pPr>
              <w:widowControl/>
              <w:jc w:val="center"/>
              <w:rPr>
                <w:rFonts w:hint="eastAsia" w:ascii="仿宋_GB2312" w:hAnsi="仿宋_GB2312" w:eastAsia="仿宋_GB2312" w:cs="仿宋_GB2312"/>
                <w:color w:val="000000"/>
                <w:kern w:val="0"/>
                <w:sz w:val="24"/>
                <w:lang w:bidi="ar"/>
              </w:rPr>
            </w:pPr>
          </w:p>
        </w:tc>
        <w:tc>
          <w:tcPr>
            <w:tcW w:w="1605" w:type="dxa"/>
            <w:tcBorders>
              <w:top w:val="single" w:color="auto" w:sz="6" w:space="0"/>
              <w:left w:val="nil"/>
              <w:bottom w:val="single" w:color="auto" w:sz="6" w:space="0"/>
              <w:right w:val="single" w:color="auto" w:sz="6" w:space="0"/>
            </w:tcBorders>
            <w:vAlign w:val="center"/>
          </w:tcPr>
          <w:p w14:paraId="240C5AD0">
            <w:pPr>
              <w:widowControl/>
              <w:jc w:val="center"/>
              <w:rPr>
                <w:rFonts w:hint="eastAsia" w:ascii="仿宋_GB2312" w:hAnsi="仿宋_GB2312" w:eastAsia="仿宋_GB2312" w:cs="仿宋_GB2312"/>
                <w:color w:val="000000"/>
                <w:kern w:val="0"/>
                <w:sz w:val="24"/>
                <w:lang w:bidi="ar"/>
              </w:rPr>
            </w:pPr>
          </w:p>
        </w:tc>
        <w:tc>
          <w:tcPr>
            <w:tcW w:w="1421" w:type="dxa"/>
            <w:tcBorders>
              <w:top w:val="single" w:color="auto" w:sz="6" w:space="0"/>
              <w:left w:val="nil"/>
              <w:bottom w:val="single" w:color="auto" w:sz="6" w:space="0"/>
              <w:right w:val="single" w:color="auto" w:sz="12" w:space="0"/>
            </w:tcBorders>
            <w:vAlign w:val="center"/>
          </w:tcPr>
          <w:p w14:paraId="3AA9A858">
            <w:pPr>
              <w:widowControl/>
              <w:jc w:val="center"/>
              <w:rPr>
                <w:rFonts w:hint="eastAsia" w:ascii="仿宋_GB2312" w:hAnsi="仿宋_GB2312" w:eastAsia="仿宋_GB2312" w:cs="仿宋_GB2312"/>
                <w:color w:val="000000"/>
                <w:kern w:val="0"/>
                <w:sz w:val="24"/>
                <w:lang w:bidi="ar"/>
              </w:rPr>
            </w:pPr>
          </w:p>
        </w:tc>
      </w:tr>
    </w:tbl>
    <w:p w14:paraId="34C8ADE9">
      <w:pPr>
        <w:pStyle w:val="10"/>
        <w:ind w:firstLine="0" w:firstLineChars="0"/>
      </w:pPr>
    </w:p>
    <w:p w14:paraId="3CC72E80"/>
    <w:p w14:paraId="7D9618FE"/>
    <w:p w14:paraId="40899D1A"/>
    <w:p w14:paraId="6DD7F6EF"/>
    <w:p w14:paraId="3A34CB50"/>
    <w:p w14:paraId="67D4FD88"/>
    <w:p w14:paraId="4540B43E"/>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D2D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2B629A">
                          <w:pPr>
                            <w:pStyle w:val="8"/>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F2B629A">
                    <w:pPr>
                      <w:pStyle w:val="8"/>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Zjc2MTIzMDM2NDkyZjRkMGU0YzRkMjRiZTc1MzgifQ=="/>
  </w:docVars>
  <w:rsids>
    <w:rsidRoot w:val="00626A43"/>
    <w:rsid w:val="00047114"/>
    <w:rsid w:val="000C6FEF"/>
    <w:rsid w:val="001E0198"/>
    <w:rsid w:val="00234E14"/>
    <w:rsid w:val="002C650F"/>
    <w:rsid w:val="00371F4C"/>
    <w:rsid w:val="00460931"/>
    <w:rsid w:val="005A0874"/>
    <w:rsid w:val="00626A43"/>
    <w:rsid w:val="008C1889"/>
    <w:rsid w:val="008D0428"/>
    <w:rsid w:val="009433AD"/>
    <w:rsid w:val="00A6244D"/>
    <w:rsid w:val="00C85C9D"/>
    <w:rsid w:val="00C92DE3"/>
    <w:rsid w:val="00CE3C47"/>
    <w:rsid w:val="00D44C46"/>
    <w:rsid w:val="00E01D42"/>
    <w:rsid w:val="00E41DAE"/>
    <w:rsid w:val="01EF4346"/>
    <w:rsid w:val="03BA76EC"/>
    <w:rsid w:val="03F60FF6"/>
    <w:rsid w:val="06141C07"/>
    <w:rsid w:val="07436157"/>
    <w:rsid w:val="08E43B13"/>
    <w:rsid w:val="08FC0E5C"/>
    <w:rsid w:val="097F383C"/>
    <w:rsid w:val="09EB0ED1"/>
    <w:rsid w:val="0A2E5DAD"/>
    <w:rsid w:val="0B824A13"/>
    <w:rsid w:val="0C61464C"/>
    <w:rsid w:val="0C7B29E0"/>
    <w:rsid w:val="0DD8176C"/>
    <w:rsid w:val="0F8F57E9"/>
    <w:rsid w:val="125206B3"/>
    <w:rsid w:val="12CA3D79"/>
    <w:rsid w:val="132E674C"/>
    <w:rsid w:val="135B2C24"/>
    <w:rsid w:val="16B56AEF"/>
    <w:rsid w:val="17771FF6"/>
    <w:rsid w:val="17C73B8F"/>
    <w:rsid w:val="18FC229D"/>
    <w:rsid w:val="1945415A"/>
    <w:rsid w:val="1A750A6F"/>
    <w:rsid w:val="1B351DFF"/>
    <w:rsid w:val="1D76522A"/>
    <w:rsid w:val="20384A18"/>
    <w:rsid w:val="249B3AF0"/>
    <w:rsid w:val="24BC2D39"/>
    <w:rsid w:val="25201F1F"/>
    <w:rsid w:val="25304775"/>
    <w:rsid w:val="26786524"/>
    <w:rsid w:val="28F33BD2"/>
    <w:rsid w:val="292661CF"/>
    <w:rsid w:val="297665B1"/>
    <w:rsid w:val="2ADF3CE2"/>
    <w:rsid w:val="2AF805CC"/>
    <w:rsid w:val="2BD7395F"/>
    <w:rsid w:val="2C576226"/>
    <w:rsid w:val="2D8B7816"/>
    <w:rsid w:val="2DFFCF42"/>
    <w:rsid w:val="2EEBF32D"/>
    <w:rsid w:val="2FBE9D60"/>
    <w:rsid w:val="311A1F18"/>
    <w:rsid w:val="313E17CE"/>
    <w:rsid w:val="321067ED"/>
    <w:rsid w:val="32270449"/>
    <w:rsid w:val="32824CA5"/>
    <w:rsid w:val="35EB7801"/>
    <w:rsid w:val="36232923"/>
    <w:rsid w:val="36910587"/>
    <w:rsid w:val="381B0ACC"/>
    <w:rsid w:val="397321C6"/>
    <w:rsid w:val="3B716BD9"/>
    <w:rsid w:val="3B9D67D6"/>
    <w:rsid w:val="3B9D7B3C"/>
    <w:rsid w:val="3B9FFCD1"/>
    <w:rsid w:val="3C413153"/>
    <w:rsid w:val="3D37155B"/>
    <w:rsid w:val="3D701BCD"/>
    <w:rsid w:val="3E1E03EE"/>
    <w:rsid w:val="415E3F37"/>
    <w:rsid w:val="41B63763"/>
    <w:rsid w:val="43EA2079"/>
    <w:rsid w:val="477222CB"/>
    <w:rsid w:val="49A9224D"/>
    <w:rsid w:val="4B313C8F"/>
    <w:rsid w:val="4D5123C6"/>
    <w:rsid w:val="4DC6348A"/>
    <w:rsid w:val="4DF571F5"/>
    <w:rsid w:val="4ECC0A3C"/>
    <w:rsid w:val="4F021BCA"/>
    <w:rsid w:val="507B3F93"/>
    <w:rsid w:val="515D5589"/>
    <w:rsid w:val="51954F77"/>
    <w:rsid w:val="539D0113"/>
    <w:rsid w:val="53E144A4"/>
    <w:rsid w:val="55572544"/>
    <w:rsid w:val="55AE6607"/>
    <w:rsid w:val="5A49497D"/>
    <w:rsid w:val="5B976AE1"/>
    <w:rsid w:val="5C3E620B"/>
    <w:rsid w:val="5E510B5A"/>
    <w:rsid w:val="5F54020A"/>
    <w:rsid w:val="5F8C31A5"/>
    <w:rsid w:val="5FC6371C"/>
    <w:rsid w:val="5FF57808"/>
    <w:rsid w:val="60D809DC"/>
    <w:rsid w:val="615C33BC"/>
    <w:rsid w:val="630C2BBF"/>
    <w:rsid w:val="63277544"/>
    <w:rsid w:val="63725488"/>
    <w:rsid w:val="63AF531F"/>
    <w:rsid w:val="63E87188"/>
    <w:rsid w:val="656B7F91"/>
    <w:rsid w:val="67CA3270"/>
    <w:rsid w:val="68DC3034"/>
    <w:rsid w:val="6A8B6AC0"/>
    <w:rsid w:val="6ADE0BE1"/>
    <w:rsid w:val="6C3F1694"/>
    <w:rsid w:val="6C44551F"/>
    <w:rsid w:val="6D6C44BD"/>
    <w:rsid w:val="6F724F55"/>
    <w:rsid w:val="705931BC"/>
    <w:rsid w:val="70BD199D"/>
    <w:rsid w:val="717842AE"/>
    <w:rsid w:val="73093809"/>
    <w:rsid w:val="74DA75DD"/>
    <w:rsid w:val="74F50BEC"/>
    <w:rsid w:val="755F3023"/>
    <w:rsid w:val="75FE236A"/>
    <w:rsid w:val="76E4799F"/>
    <w:rsid w:val="77B9C75B"/>
    <w:rsid w:val="7A0D129F"/>
    <w:rsid w:val="7ACF13DE"/>
    <w:rsid w:val="7BC405DA"/>
    <w:rsid w:val="7C9B5288"/>
    <w:rsid w:val="7DD12E1B"/>
    <w:rsid w:val="7F2D2B9A"/>
    <w:rsid w:val="A969993D"/>
    <w:rsid w:val="BFF61B4E"/>
    <w:rsid w:val="CBAD4CB8"/>
    <w:rsid w:val="D7999732"/>
    <w:rsid w:val="DFEF31BD"/>
    <w:rsid w:val="FFFFC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annotation text"/>
    <w:basedOn w:val="1"/>
    <w:qFormat/>
    <w:uiPriority w:val="0"/>
    <w:pPr>
      <w:jc w:val="left"/>
    </w:pPr>
  </w:style>
  <w:style w:type="paragraph" w:styleId="5">
    <w:name w:val="Body Text Indent"/>
    <w:basedOn w:val="1"/>
    <w:next w:val="6"/>
    <w:qFormat/>
    <w:uiPriority w:val="0"/>
    <w:pPr>
      <w:spacing w:line="360" w:lineRule="auto"/>
      <w:ind w:firstLine="420" w:firstLineChars="200"/>
    </w:pPr>
  </w:style>
  <w:style w:type="paragraph" w:styleId="6">
    <w:name w:val="envelope return"/>
    <w:basedOn w:val="1"/>
    <w:qFormat/>
    <w:uiPriority w:val="0"/>
    <w:pPr>
      <w:snapToGrid w:val="0"/>
    </w:pPr>
    <w:rPr>
      <w:rFonts w:ascii="Arial" w:hAnsi="Arial"/>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rPr>
      <w:rFonts w:ascii="Calibri" w:hAns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rFonts w:ascii="微软雅黑" w:hAnsi="微软雅黑" w:eastAsia="微软雅黑" w:cs="微软雅黑"/>
      <w:color w:val="000000"/>
      <w:sz w:val="21"/>
      <w:szCs w:val="21"/>
      <w:u w:val="none"/>
    </w:rPr>
  </w:style>
  <w:style w:type="character" w:styleId="15">
    <w:name w:val="Hyperlink"/>
    <w:basedOn w:val="13"/>
    <w:qFormat/>
    <w:uiPriority w:val="0"/>
    <w:rPr>
      <w:rFonts w:hint="eastAsia" w:ascii="微软雅黑" w:hAnsi="微软雅黑" w:eastAsia="微软雅黑" w:cs="微软雅黑"/>
      <w:color w:val="000000"/>
      <w:sz w:val="21"/>
      <w:szCs w:val="21"/>
      <w:u w:val="none"/>
    </w:rPr>
  </w:style>
  <w:style w:type="character" w:styleId="16">
    <w:name w:val="annotation reference"/>
    <w:basedOn w:val="13"/>
    <w:qFormat/>
    <w:uiPriority w:val="0"/>
    <w:rPr>
      <w:sz w:val="21"/>
      <w:szCs w:val="21"/>
    </w:rPr>
  </w:style>
  <w:style w:type="paragraph" w:customStyle="1" w:styleId="17">
    <w:name w:val="列出段落1"/>
    <w:basedOn w:val="1"/>
    <w:unhideWhenUsed/>
    <w:qFormat/>
    <w:uiPriority w:val="99"/>
    <w:pPr>
      <w:ind w:firstLine="420" w:firstLineChars="200"/>
    </w:pPr>
  </w:style>
  <w:style w:type="character" w:customStyle="1" w:styleId="18">
    <w:name w:val="页眉 字符"/>
    <w:basedOn w:val="13"/>
    <w:link w:val="9"/>
    <w:qFormat/>
    <w:uiPriority w:val="0"/>
    <w:rPr>
      <w:kern w:val="2"/>
      <w:sz w:val="18"/>
      <w:szCs w:val="18"/>
    </w:rPr>
  </w:style>
  <w:style w:type="character" w:customStyle="1" w:styleId="19">
    <w:name w:val="批注框文本 字符"/>
    <w:basedOn w:val="13"/>
    <w:link w:val="7"/>
    <w:qFormat/>
    <w:uiPriority w:val="0"/>
    <w:rPr>
      <w:kern w:val="2"/>
      <w:sz w:val="18"/>
      <w:szCs w:val="18"/>
    </w:rPr>
  </w:style>
  <w:style w:type="character" w:customStyle="1" w:styleId="20">
    <w:name w:val="dg-flex-item"/>
    <w:basedOn w:val="13"/>
    <w:qFormat/>
    <w:uiPriority w:val="0"/>
    <w:rPr>
      <w:bdr w:val="single" w:color="ECECEC" w:sz="6" w:space="0"/>
    </w:rPr>
  </w:style>
  <w:style w:type="character" w:customStyle="1" w:styleId="21">
    <w:name w:val="nth-of-type(1)"/>
    <w:basedOn w:val="13"/>
    <w:qFormat/>
    <w:uiPriority w:val="0"/>
  </w:style>
  <w:style w:type="character" w:customStyle="1" w:styleId="22">
    <w:name w:val="nth-of-type(1)1"/>
    <w:basedOn w:val="13"/>
    <w:qFormat/>
    <w:uiPriority w:val="0"/>
  </w:style>
  <w:style w:type="character" w:customStyle="1" w:styleId="23">
    <w:name w:val="not([class*=suffix])"/>
    <w:basedOn w:val="13"/>
    <w:qFormat/>
    <w:uiPriority w:val="0"/>
    <w:rPr>
      <w:sz w:val="19"/>
      <w:szCs w:val="19"/>
    </w:rPr>
  </w:style>
  <w:style w:type="character" w:customStyle="1" w:styleId="24">
    <w:name w:val="not([class*=suffix])1"/>
    <w:basedOn w:val="13"/>
    <w:qFormat/>
    <w:uiPriority w:val="0"/>
  </w:style>
  <w:style w:type="character" w:customStyle="1" w:styleId="25">
    <w:name w:val="nth-of-type(3)"/>
    <w:basedOn w:val="13"/>
    <w:qFormat/>
    <w:uiPriority w:val="0"/>
    <w:rPr>
      <w:sz w:val="30"/>
      <w:szCs w:val="30"/>
    </w:rPr>
  </w:style>
  <w:style w:type="paragraph" w:customStyle="1" w:styleId="2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18</Pages>
  <Words>7510</Words>
  <Characters>7739</Characters>
  <Lines>60</Lines>
  <Paragraphs>16</Paragraphs>
  <TotalTime>14</TotalTime>
  <ScaleCrop>false</ScaleCrop>
  <LinksUpToDate>false</LinksUpToDate>
  <CharactersWithSpaces>7904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2021-11-30T02:10:00Z</dcterms:created>
  <dc:creator>范珊珊</dc:creator>
  <cp:lastModifiedBy>高于堡</cp:lastModifiedBy>
  <cp:lastPrinted>2023-04-22T02:00:00Z</cp:lastPrinted>
  <dcterms:modified xsi:type="dcterms:W3CDTF">2025-01-10T12:02:40Z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5B8621E4565A42DCAE26CF522A94F6B4</vt:lpwstr>
  </property>
  <property fmtid="{D5CDD505-2E9C-101B-9397-08002B2CF9AE}" pid="4" name="KSOTemplateDocerSaveRecord">
    <vt:lpwstr>eyJoZGlkIjoiNzc0OTc3NmRmNGM3Mjg1MmI1ZGU1MWU0OTM3ZTRkZjYiLCJ1c2VySWQiOiIzMTAzMDg1NjcifQ==</vt:lpwstr>
  </property>
</Properties>
</file>