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imes New Roman" w:hAnsi="Times New Roman" w:eastAsia="宋体" w:cs="Times New Roman"/>
          <w:b/>
          <w:bCs/>
          <w:color w:val="auto"/>
          <w:sz w:val="44"/>
          <w:szCs w:val="40"/>
          <w:highlight w:val="none"/>
          <w:lang w:eastAsia="zh-CN"/>
        </w:rPr>
      </w:pPr>
      <w:bookmarkStart w:id="158" w:name="_GoBack"/>
    </w:p>
    <w:p>
      <w:pPr>
        <w:spacing w:line="480" w:lineRule="auto"/>
        <w:jc w:val="center"/>
        <w:rPr>
          <w:rFonts w:hint="eastAsia" w:ascii="Times New Roman" w:hAnsi="Times New Roman" w:eastAsia="宋体" w:cs="Times New Roman"/>
          <w:b/>
          <w:bCs/>
          <w:color w:val="auto"/>
          <w:sz w:val="44"/>
          <w:szCs w:val="40"/>
          <w:highlight w:val="none"/>
          <w:lang w:eastAsia="zh-CN"/>
        </w:rPr>
      </w:pPr>
    </w:p>
    <w:p>
      <w:pPr>
        <w:spacing w:line="480" w:lineRule="auto"/>
        <w:jc w:val="center"/>
        <w:rPr>
          <w:rFonts w:hint="eastAsia" w:ascii="Times New Roman" w:hAnsi="Times New Roman" w:eastAsia="宋体" w:cs="Times New Roman"/>
          <w:b/>
          <w:bCs/>
          <w:color w:val="auto"/>
          <w:sz w:val="44"/>
          <w:szCs w:val="40"/>
          <w:highlight w:val="none"/>
          <w:lang w:eastAsia="zh-CN"/>
        </w:rPr>
      </w:pPr>
      <w:r>
        <w:rPr>
          <w:rFonts w:hint="eastAsia" w:ascii="Times New Roman" w:hAnsi="Times New Roman" w:eastAsia="宋体" w:cs="Times New Roman"/>
          <w:b/>
          <w:bCs/>
          <w:color w:val="auto"/>
          <w:sz w:val="44"/>
          <w:szCs w:val="40"/>
          <w:highlight w:val="none"/>
          <w:lang w:eastAsia="zh-CN"/>
        </w:rPr>
        <w:t>观湖北产业片区10-03-2宗地创意样板房</w:t>
      </w:r>
    </w:p>
    <w:p>
      <w:pPr>
        <w:spacing w:line="480" w:lineRule="auto"/>
        <w:jc w:val="center"/>
        <w:rPr>
          <w:rFonts w:ascii="宋体" w:hAnsi="宋体" w:eastAsia="宋体" w:cs="宋体"/>
          <w:b/>
          <w:bCs/>
          <w:color w:val="auto"/>
          <w:sz w:val="36"/>
          <w:szCs w:val="36"/>
          <w:highlight w:val="none"/>
        </w:rPr>
      </w:pPr>
      <w:r>
        <w:rPr>
          <w:rFonts w:hint="eastAsia" w:ascii="Times New Roman" w:hAnsi="Times New Roman" w:eastAsia="宋体" w:cs="Times New Roman"/>
          <w:b/>
          <w:bCs/>
          <w:color w:val="auto"/>
          <w:sz w:val="44"/>
          <w:szCs w:val="40"/>
          <w:highlight w:val="none"/>
          <w:lang w:eastAsia="zh-CN"/>
        </w:rPr>
        <w:t>设计</w:t>
      </w:r>
      <w:r>
        <w:rPr>
          <w:rFonts w:hint="eastAsia" w:ascii="Times New Roman" w:hAnsi="Times New Roman" w:eastAsia="宋体" w:cs="Times New Roman"/>
          <w:b/>
          <w:bCs/>
          <w:color w:val="auto"/>
          <w:sz w:val="44"/>
          <w:szCs w:val="40"/>
          <w:highlight w:val="none"/>
        </w:rPr>
        <w:t>合同</w:t>
      </w:r>
    </w:p>
    <w:p>
      <w:pPr>
        <w:spacing w:after="120"/>
        <w:ind w:firstLine="1680" w:firstLineChars="800"/>
        <w:rPr>
          <w:rFonts w:ascii="宋体" w:hAnsi="宋体" w:eastAsia="宋体" w:cs="Times New Roman"/>
          <w:color w:val="auto"/>
          <w:szCs w:val="21"/>
          <w:highlight w:val="none"/>
        </w:rPr>
      </w:pPr>
    </w:p>
    <w:p>
      <w:pPr>
        <w:spacing w:after="120"/>
        <w:ind w:firstLine="1680" w:firstLineChars="8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合同编号:</w:t>
      </w:r>
    </w:p>
    <w:p>
      <w:pPr>
        <w:autoSpaceDE w:val="0"/>
        <w:autoSpaceDN w:val="0"/>
        <w:adjustRightInd w:val="0"/>
        <w:jc w:val="center"/>
        <w:rPr>
          <w:rFonts w:ascii="Times New Roman" w:hAnsi="Times New Roman" w:eastAsia="宋体" w:cs="Times New Roman"/>
          <w:color w:val="auto"/>
          <w:kern w:val="0"/>
          <w:sz w:val="24"/>
          <w:szCs w:val="20"/>
          <w:highlight w:val="none"/>
        </w:rPr>
      </w:pPr>
    </w:p>
    <w:p>
      <w:pPr>
        <w:autoSpaceDE w:val="0"/>
        <w:autoSpaceDN w:val="0"/>
        <w:adjustRightInd w:val="0"/>
        <w:jc w:val="left"/>
        <w:rPr>
          <w:rFonts w:ascii="Times New Roman" w:hAnsi="Times New Roman" w:eastAsia="宋体" w:cs="Times New Roman"/>
          <w:color w:val="auto"/>
          <w:kern w:val="0"/>
          <w:sz w:val="24"/>
          <w:szCs w:val="20"/>
          <w:highlight w:val="none"/>
        </w:rPr>
      </w:pPr>
    </w:p>
    <w:p>
      <w:pPr>
        <w:autoSpaceDE w:val="0"/>
        <w:autoSpaceDN w:val="0"/>
        <w:adjustRightInd w:val="0"/>
        <w:ind w:left="360"/>
        <w:jc w:val="left"/>
        <w:rPr>
          <w:rFonts w:ascii="Times New Roman" w:hAnsi="Times New Roman" w:eastAsia="宋体" w:cs="Times New Roman"/>
          <w:color w:val="auto"/>
          <w:kern w:val="0"/>
          <w:sz w:val="24"/>
          <w:szCs w:val="20"/>
          <w:highlight w:val="none"/>
        </w:rPr>
      </w:pPr>
    </w:p>
    <w:p>
      <w:pPr>
        <w:autoSpaceDE w:val="0"/>
        <w:autoSpaceDN w:val="0"/>
        <w:adjustRightInd w:val="0"/>
        <w:jc w:val="left"/>
        <w:rPr>
          <w:rFonts w:ascii="Times New Roman" w:hAnsi="Times New Roman" w:eastAsia="宋体" w:cs="Times New Roman"/>
          <w:color w:val="auto"/>
          <w:kern w:val="0"/>
          <w:sz w:val="24"/>
          <w:szCs w:val="20"/>
          <w:highlight w:val="none"/>
        </w:rPr>
      </w:pPr>
    </w:p>
    <w:p>
      <w:pPr>
        <w:autoSpaceDE w:val="0"/>
        <w:autoSpaceDN w:val="0"/>
        <w:adjustRightInd w:val="0"/>
        <w:ind w:left="360"/>
        <w:jc w:val="left"/>
        <w:rPr>
          <w:rFonts w:ascii="Times New Roman" w:hAnsi="Times New Roman" w:eastAsia="宋体" w:cs="Times New Roman"/>
          <w:color w:val="auto"/>
          <w:kern w:val="0"/>
          <w:sz w:val="24"/>
          <w:szCs w:val="20"/>
          <w:highlight w:val="none"/>
        </w:rPr>
      </w:pPr>
    </w:p>
    <w:p>
      <w:pPr>
        <w:rPr>
          <w:rFonts w:ascii="Times New Roman" w:hAnsi="Times New Roman" w:eastAsia="宋体" w:cs="Times New Roman"/>
          <w:color w:val="auto"/>
          <w:szCs w:val="20"/>
          <w:highlight w:val="none"/>
        </w:rPr>
      </w:pPr>
    </w:p>
    <w:p>
      <w:pPr>
        <w:spacing w:after="120"/>
        <w:rPr>
          <w:rFonts w:ascii="Times New Roman" w:hAnsi="Times New Roman" w:eastAsia="宋体" w:cs="Times New Roman"/>
          <w:color w:val="auto"/>
          <w:szCs w:val="20"/>
          <w:highlight w:val="none"/>
        </w:rPr>
      </w:pPr>
    </w:p>
    <w:p>
      <w:pPr>
        <w:spacing w:after="120"/>
        <w:rPr>
          <w:rFonts w:ascii="宋体" w:hAnsi="宋体" w:eastAsia="宋体" w:cs="Times New Roman"/>
          <w:color w:val="auto"/>
          <w:kern w:val="0"/>
          <w:szCs w:val="21"/>
          <w:highlight w:val="none"/>
        </w:rPr>
      </w:pPr>
    </w:p>
    <w:p>
      <w:pPr>
        <w:spacing w:after="120"/>
        <w:rPr>
          <w:rFonts w:ascii="宋体" w:hAnsi="宋体" w:eastAsia="宋体" w:cs="Times New Roman"/>
          <w:color w:val="auto"/>
          <w:kern w:val="0"/>
          <w:szCs w:val="21"/>
          <w:highlight w:val="none"/>
        </w:rPr>
      </w:pPr>
    </w:p>
    <w:p>
      <w:pPr>
        <w:spacing w:after="120"/>
        <w:rPr>
          <w:rFonts w:ascii="Times New Roman" w:hAnsi="Times New Roman" w:eastAsia="宋体" w:cs="Times New Roman"/>
          <w:color w:val="auto"/>
          <w:szCs w:val="20"/>
          <w:highlight w:val="none"/>
        </w:rPr>
      </w:pPr>
    </w:p>
    <w:tbl>
      <w:tblPr>
        <w:tblStyle w:val="7"/>
        <w:tblW w:w="7139" w:type="dxa"/>
        <w:tblInd w:w="733" w:type="dxa"/>
        <w:tblLayout w:type="fixed"/>
        <w:tblCellMar>
          <w:top w:w="0" w:type="dxa"/>
          <w:left w:w="108" w:type="dxa"/>
          <w:bottom w:w="0" w:type="dxa"/>
          <w:right w:w="108" w:type="dxa"/>
        </w:tblCellMar>
      </w:tblPr>
      <w:tblGrid>
        <w:gridCol w:w="1922"/>
        <w:gridCol w:w="5217"/>
      </w:tblGrid>
      <w:tr>
        <w:tblPrEx>
          <w:tblCellMar>
            <w:top w:w="0" w:type="dxa"/>
            <w:left w:w="108" w:type="dxa"/>
            <w:bottom w:w="0" w:type="dxa"/>
            <w:right w:w="108" w:type="dxa"/>
          </w:tblCellMar>
        </w:tblPrEx>
        <w:trPr>
          <w:trHeight w:val="848" w:hRule="atLeast"/>
        </w:trPr>
        <w:tc>
          <w:tcPr>
            <w:tcW w:w="1922" w:type="dxa"/>
            <w:vAlign w:val="center"/>
          </w:tcPr>
          <w:p>
            <w:pPr>
              <w:spacing w:beforeLines="50" w:line="360" w:lineRule="auto"/>
              <w:jc w:val="left"/>
              <w:rPr>
                <w:rFonts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工程名称：</w:t>
            </w:r>
          </w:p>
        </w:tc>
        <w:tc>
          <w:tcPr>
            <w:tcW w:w="5217" w:type="dxa"/>
            <w:tcBorders>
              <w:bottom w:val="single" w:color="auto" w:sz="4" w:space="0"/>
            </w:tcBorders>
            <w:vAlign w:val="center"/>
          </w:tcPr>
          <w:p>
            <w:pPr>
              <w:spacing w:beforeLines="50" w:line="360" w:lineRule="auto"/>
              <w:jc w:val="left"/>
              <w:rPr>
                <w:rFonts w:ascii="宋体" w:hAnsi="宋体" w:eastAsia="宋体" w:cs="宋体"/>
                <w:bCs/>
                <w:color w:val="auto"/>
                <w:sz w:val="24"/>
                <w:szCs w:val="20"/>
                <w:highlight w:val="none"/>
              </w:rPr>
            </w:pPr>
          </w:p>
        </w:tc>
      </w:tr>
      <w:tr>
        <w:tblPrEx>
          <w:tblCellMar>
            <w:top w:w="0" w:type="dxa"/>
            <w:left w:w="108" w:type="dxa"/>
            <w:bottom w:w="0" w:type="dxa"/>
            <w:right w:w="108" w:type="dxa"/>
          </w:tblCellMar>
        </w:tblPrEx>
        <w:trPr>
          <w:trHeight w:val="848" w:hRule="atLeast"/>
        </w:trPr>
        <w:tc>
          <w:tcPr>
            <w:tcW w:w="1922" w:type="dxa"/>
            <w:vAlign w:val="center"/>
          </w:tcPr>
          <w:p>
            <w:pPr>
              <w:spacing w:beforeLines="50" w:line="360" w:lineRule="auto"/>
              <w:jc w:val="left"/>
              <w:rPr>
                <w:rFonts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工程地点：</w:t>
            </w:r>
          </w:p>
        </w:tc>
        <w:tc>
          <w:tcPr>
            <w:tcW w:w="5217" w:type="dxa"/>
            <w:tcBorders>
              <w:top w:val="single" w:color="auto" w:sz="4" w:space="0"/>
              <w:bottom w:val="single" w:color="auto" w:sz="4" w:space="0"/>
            </w:tcBorders>
            <w:vAlign w:val="center"/>
          </w:tcPr>
          <w:p>
            <w:pPr>
              <w:spacing w:beforeLines="50" w:line="360" w:lineRule="auto"/>
              <w:jc w:val="left"/>
              <w:rPr>
                <w:rFonts w:ascii="宋体" w:hAnsi="宋体" w:eastAsia="宋体" w:cs="宋体"/>
                <w:bCs/>
                <w:color w:val="auto"/>
                <w:sz w:val="24"/>
                <w:szCs w:val="20"/>
                <w:highlight w:val="none"/>
              </w:rPr>
            </w:pPr>
          </w:p>
        </w:tc>
      </w:tr>
      <w:tr>
        <w:tblPrEx>
          <w:tblCellMar>
            <w:top w:w="0" w:type="dxa"/>
            <w:left w:w="108" w:type="dxa"/>
            <w:bottom w:w="0" w:type="dxa"/>
            <w:right w:w="108" w:type="dxa"/>
          </w:tblCellMar>
        </w:tblPrEx>
        <w:trPr>
          <w:trHeight w:val="848" w:hRule="atLeast"/>
        </w:trPr>
        <w:tc>
          <w:tcPr>
            <w:tcW w:w="1922" w:type="dxa"/>
            <w:vAlign w:val="center"/>
          </w:tcPr>
          <w:p>
            <w:pPr>
              <w:spacing w:beforeLines="50" w:line="360" w:lineRule="auto"/>
              <w:jc w:val="left"/>
              <w:rPr>
                <w:rFonts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甲方</w:t>
            </w:r>
          </w:p>
        </w:tc>
        <w:tc>
          <w:tcPr>
            <w:tcW w:w="5217" w:type="dxa"/>
            <w:tcBorders>
              <w:top w:val="single" w:color="auto" w:sz="4" w:space="0"/>
              <w:bottom w:val="single" w:color="auto" w:sz="4" w:space="0"/>
            </w:tcBorders>
            <w:vAlign w:val="center"/>
          </w:tcPr>
          <w:p>
            <w:pPr>
              <w:spacing w:beforeLines="50" w:line="360" w:lineRule="auto"/>
              <w:jc w:val="left"/>
              <w:rPr>
                <w:rFonts w:hint="eastAsia" w:ascii="宋体" w:hAnsi="宋体" w:eastAsia="宋体" w:cs="宋体"/>
                <w:bCs/>
                <w:color w:val="auto"/>
                <w:sz w:val="24"/>
                <w:szCs w:val="20"/>
                <w:highlight w:val="none"/>
                <w:lang w:eastAsia="zh-CN"/>
              </w:rPr>
            </w:pPr>
            <w:r>
              <w:rPr>
                <w:rFonts w:hint="eastAsia" w:ascii="宋体" w:hAnsi="宋体" w:eastAsia="宋体" w:cs="宋体"/>
                <w:b/>
                <w:color w:val="auto"/>
                <w:szCs w:val="21"/>
                <w:highlight w:val="none"/>
                <w:u w:val="single"/>
                <w:lang w:eastAsia="zh-CN"/>
              </w:rPr>
              <w:t>深圳市新龙观投资发展有限公司</w:t>
            </w:r>
          </w:p>
        </w:tc>
      </w:tr>
      <w:tr>
        <w:tblPrEx>
          <w:tblCellMar>
            <w:top w:w="0" w:type="dxa"/>
            <w:left w:w="108" w:type="dxa"/>
            <w:bottom w:w="0" w:type="dxa"/>
            <w:right w:w="108" w:type="dxa"/>
          </w:tblCellMar>
        </w:tblPrEx>
        <w:trPr>
          <w:trHeight w:val="848" w:hRule="atLeast"/>
        </w:trPr>
        <w:tc>
          <w:tcPr>
            <w:tcW w:w="1922" w:type="dxa"/>
            <w:vAlign w:val="center"/>
          </w:tcPr>
          <w:p>
            <w:pPr>
              <w:spacing w:beforeLines="50" w:line="360" w:lineRule="auto"/>
              <w:jc w:val="left"/>
              <w:rPr>
                <w:rFonts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乙方</w:t>
            </w:r>
          </w:p>
        </w:tc>
        <w:tc>
          <w:tcPr>
            <w:tcW w:w="5217" w:type="dxa"/>
            <w:tcBorders>
              <w:top w:val="single" w:color="auto" w:sz="4" w:space="0"/>
              <w:bottom w:val="single" w:color="auto" w:sz="4" w:space="0"/>
            </w:tcBorders>
            <w:vAlign w:val="center"/>
          </w:tcPr>
          <w:p>
            <w:pPr>
              <w:spacing w:beforeLines="50" w:line="360" w:lineRule="auto"/>
              <w:jc w:val="left"/>
              <w:rPr>
                <w:rFonts w:ascii="宋体" w:hAnsi="宋体" w:eastAsia="宋体" w:cs="宋体"/>
                <w:bCs/>
                <w:color w:val="auto"/>
                <w:sz w:val="24"/>
                <w:szCs w:val="20"/>
                <w:highlight w:val="none"/>
              </w:rPr>
            </w:pPr>
          </w:p>
        </w:tc>
      </w:tr>
      <w:tr>
        <w:tblPrEx>
          <w:tblCellMar>
            <w:top w:w="0" w:type="dxa"/>
            <w:left w:w="108" w:type="dxa"/>
            <w:bottom w:w="0" w:type="dxa"/>
            <w:right w:w="108" w:type="dxa"/>
          </w:tblCellMar>
        </w:tblPrEx>
        <w:trPr>
          <w:trHeight w:val="848" w:hRule="atLeast"/>
        </w:trPr>
        <w:tc>
          <w:tcPr>
            <w:tcW w:w="1922" w:type="dxa"/>
            <w:vAlign w:val="center"/>
          </w:tcPr>
          <w:p>
            <w:pPr>
              <w:spacing w:beforeLines="50" w:line="360" w:lineRule="auto"/>
              <w:jc w:val="left"/>
              <w:rPr>
                <w:rFonts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签订日期：</w:t>
            </w:r>
          </w:p>
        </w:tc>
        <w:tc>
          <w:tcPr>
            <w:tcW w:w="5217" w:type="dxa"/>
            <w:tcBorders>
              <w:top w:val="single" w:color="auto" w:sz="4" w:space="0"/>
              <w:bottom w:val="single" w:color="auto" w:sz="4" w:space="0"/>
            </w:tcBorders>
            <w:vAlign w:val="center"/>
          </w:tcPr>
          <w:p>
            <w:pPr>
              <w:spacing w:beforeLines="50" w:line="360" w:lineRule="auto"/>
              <w:jc w:val="left"/>
              <w:rPr>
                <w:rFonts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年月日</w:t>
            </w:r>
          </w:p>
        </w:tc>
      </w:tr>
    </w:tbl>
    <w:p>
      <w:pPr>
        <w:spacing w:after="120"/>
        <w:rPr>
          <w:rFonts w:ascii="Times New Roman" w:hAnsi="Times New Roman" w:eastAsia="宋体" w:cs="Times New Roman"/>
          <w:color w:val="auto"/>
          <w:szCs w:val="20"/>
          <w:highlight w:val="none"/>
        </w:rPr>
      </w:pPr>
    </w:p>
    <w:p>
      <w:pPr>
        <w:spacing w:after="120"/>
        <w:rPr>
          <w:rFonts w:ascii="Times New Roman" w:hAnsi="Times New Roman" w:eastAsia="宋体" w:cs="Times New Roman"/>
          <w:color w:val="auto"/>
          <w:szCs w:val="20"/>
          <w:highlight w:val="none"/>
        </w:rPr>
      </w:pPr>
    </w:p>
    <w:p>
      <w:pPr>
        <w:rPr>
          <w:rFonts w:ascii="Times New Roman" w:hAnsi="Times New Roman" w:eastAsia="宋体" w:cs="Times New Roman"/>
          <w:color w:val="auto"/>
          <w:szCs w:val="20"/>
          <w:highlight w:val="none"/>
        </w:rPr>
      </w:pPr>
    </w:p>
    <w:p>
      <w:pPr>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br w:type="page"/>
      </w:r>
    </w:p>
    <w:p>
      <w:pPr>
        <w:spacing w:line="480" w:lineRule="auto"/>
        <w:jc w:val="center"/>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合同协议书</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建设工程质量管理条例》《建设工程勘察设计管理条例》《建设工程安全生产管理条例》《深圳市建设工程质量管理条例》《工程设计资质标准》以及其他相关法律、法规、规章，遵循平等、自愿、公平和诚实信用的原则，甲方将</w:t>
      </w:r>
      <w:r>
        <w:rPr>
          <w:rFonts w:hint="eastAsia" w:ascii="宋体" w:hAnsi="宋体" w:eastAsia="宋体" w:cs="宋体"/>
          <w:color w:val="auto"/>
          <w:szCs w:val="21"/>
          <w:highlight w:val="none"/>
          <w:u w:val="single"/>
          <w:lang w:eastAsia="zh-CN"/>
        </w:rPr>
        <w:t>观湖北产业片区10-03-2宗地创意样板房设计</w:t>
      </w:r>
      <w:r>
        <w:rPr>
          <w:rFonts w:hint="eastAsia" w:ascii="宋体" w:hAnsi="宋体" w:eastAsia="宋体" w:cs="宋体"/>
          <w:color w:val="auto"/>
          <w:szCs w:val="21"/>
          <w:highlight w:val="none"/>
        </w:rPr>
        <w:t>委托给乙方完成。双方就此事宜协商一致，共同达成本协议。</w:t>
      </w:r>
    </w:p>
    <w:p>
      <w:pPr>
        <w:adjustRightInd w:val="0"/>
        <w:snapToGrid w:val="0"/>
        <w:spacing w:line="360" w:lineRule="auto"/>
        <w:ind w:firstLine="422" w:firstLineChars="200"/>
        <w:jc w:val="left"/>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一、工程概况</w:t>
      </w:r>
    </w:p>
    <w:p>
      <w:pPr>
        <w:adjustRightInd w:val="0"/>
        <w:snapToGrid w:val="0"/>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1.1</w:t>
      </w:r>
      <w:r>
        <w:rPr>
          <w:rFonts w:hint="eastAsia" w:ascii="宋体" w:hAnsi="宋体" w:eastAsia="宋体" w:cs="宋体"/>
          <w:bCs/>
          <w:color w:val="auto"/>
          <w:szCs w:val="21"/>
          <w:highlight w:val="none"/>
        </w:rPr>
        <w:t>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eastAsia="zh-CN"/>
        </w:rPr>
        <w:t>观湖北产业片区10-03-2宗地创意样板房设计</w:t>
      </w:r>
    </w:p>
    <w:p>
      <w:pPr>
        <w:adjustRightInd w:val="0"/>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1.2</w:t>
      </w:r>
      <w:r>
        <w:rPr>
          <w:rFonts w:hint="eastAsia" w:ascii="宋体" w:hAnsi="宋体" w:eastAsia="宋体" w:cs="宋体"/>
          <w:bCs/>
          <w:color w:val="auto"/>
          <w:szCs w:val="21"/>
          <w:highlight w:val="none"/>
        </w:rPr>
        <w:t>工程地点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深圳市龙华区</w:t>
      </w:r>
      <w:bookmarkStart w:id="0" w:name="OLE_LINK17"/>
      <w:r>
        <w:rPr>
          <w:rFonts w:hint="eastAsia" w:ascii="宋体" w:hAnsi="宋体" w:eastAsia="宋体" w:cs="宋体"/>
          <w:color w:val="auto"/>
          <w:szCs w:val="21"/>
          <w:highlight w:val="none"/>
          <w:u w:val="single"/>
          <w:lang w:val="en-US" w:eastAsia="zh-CN"/>
        </w:rPr>
        <w:t>观湖</w:t>
      </w:r>
      <w:r>
        <w:rPr>
          <w:rFonts w:hint="eastAsia" w:ascii="宋体" w:hAnsi="宋体" w:eastAsia="宋体" w:cs="宋体"/>
          <w:color w:val="auto"/>
          <w:szCs w:val="21"/>
          <w:highlight w:val="none"/>
          <w:u w:val="single"/>
        </w:rPr>
        <w:t>街道</w:t>
      </w:r>
      <w:bookmarkEnd w:id="0"/>
    </w:p>
    <w:p>
      <w:pPr>
        <w:adjustRightInd w:val="0"/>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1.3工程概况：</w:t>
      </w:r>
      <w:bookmarkStart w:id="1" w:name="OLE_LINK18"/>
      <w:r>
        <w:rPr>
          <w:rFonts w:hint="eastAsia" w:ascii="宋体" w:hAnsi="宋体" w:eastAsia="宋体" w:cs="宋体"/>
          <w:color w:val="auto"/>
          <w:szCs w:val="21"/>
          <w:highlight w:val="none"/>
          <w:u w:val="single"/>
        </w:rPr>
        <w:t>观湖北产业片区10-03-02宗地项目位于深圳市龙华区富澜路与万安东路交汇处，用地性质为二类居住用地（R2）。规划用地面积17263.9㎡，规划总建筑面积约151608.34㎡，规定计容建筑面积103940㎡，规划容积率6.0，绿化率40%。超高层住宅、裙楼商业、公共配套（9班幼儿园、托育机构、社区健康服务中心、社区老年人日间照料中心、小型垃圾转运站、再生资料回收站、公共厕所、环卫工人作息房），社区儿童游戏场地600㎡，公共开放空间500㎡。</w:t>
      </w:r>
    </w:p>
    <w:p>
      <w:pPr>
        <w:adjustRightInd w:val="0"/>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本工程设计类型为可售住宅的创意样板间设计。</w:t>
      </w:r>
    </w:p>
    <w:bookmarkEnd w:id="1"/>
    <w:p>
      <w:pPr>
        <w:adjustRightInd w:val="0"/>
        <w:snapToGrid w:val="0"/>
        <w:spacing w:line="360" w:lineRule="auto"/>
        <w:ind w:firstLine="422" w:firstLineChars="200"/>
        <w:jc w:val="left"/>
        <w:outlineLvl w:val="0"/>
        <w:rPr>
          <w:rFonts w:ascii="仿宋" w:hAnsi="仿宋" w:eastAsia="宋体" w:cs="黑体"/>
          <w:b/>
          <w:bCs/>
          <w:color w:val="auto"/>
          <w:sz w:val="28"/>
          <w:szCs w:val="28"/>
          <w:highlight w:val="none"/>
          <w:u w:val="none"/>
        </w:rPr>
      </w:pPr>
      <w:r>
        <w:rPr>
          <w:rFonts w:hint="eastAsia" w:ascii="宋体" w:hAnsi="宋体" w:eastAsia="宋体" w:cs="宋体"/>
          <w:b/>
          <w:bCs/>
          <w:color w:val="auto"/>
          <w:szCs w:val="21"/>
          <w:highlight w:val="none"/>
          <w:u w:val="none"/>
        </w:rPr>
        <w:t>二、设计范围、内容</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2.1.设计范围具体如下：</w:t>
      </w:r>
    </w:p>
    <w:p>
      <w:pPr>
        <w:autoSpaceDE w:val="0"/>
        <w:autoSpaceDN w:val="0"/>
        <w:adjustRightInd w:val="0"/>
        <w:snapToGrid w:val="0"/>
        <w:spacing w:line="360" w:lineRule="auto"/>
        <w:ind w:firstLine="420" w:firstLineChars="200"/>
        <w:contextualSpacing/>
        <w:rPr>
          <w:rFonts w:hint="eastAsia" w:ascii="宋体" w:hAnsi="宋体" w:eastAsia="宋体" w:cs="仿宋"/>
          <w:color w:val="auto"/>
          <w:kern w:val="0"/>
          <w:szCs w:val="21"/>
          <w:highlight w:val="none"/>
          <w:u w:val="none"/>
          <w:lang w:val="en-US" w:eastAsia="zh-CN"/>
        </w:rPr>
      </w:pPr>
      <w:r>
        <w:rPr>
          <w:rFonts w:hint="eastAsia" w:ascii="宋体" w:hAnsi="宋体" w:eastAsia="宋体" w:cs="仿宋"/>
          <w:color w:val="auto"/>
          <w:kern w:val="0"/>
          <w:szCs w:val="21"/>
          <w:highlight w:val="none"/>
          <w:u w:val="none"/>
          <w:lang w:val="en-US" w:eastAsia="zh-CN"/>
        </w:rPr>
        <w:t>包含5个创意样板间，均位于10-03-2宗地项目楼体实地低区，包含建筑面积76㎡竖厅户型（设计面积约69.56㎡）、138㎡户型（设计面积约132.92㎡），以上两个户型位于1栋楼体实地低区7-10层中选择其中一层。89㎡竖厅户型（设计面积约78.70㎡）、98㎡竖厅户型（设计面积约88.89㎡）、116㎡横厅户型（设计面积约109.52㎡），以上三个户型位于2栋楼体实地低区7-10层中选择其中一层。</w:t>
      </w:r>
    </w:p>
    <w:p>
      <w:pPr>
        <w:widowControl/>
        <w:autoSpaceDE w:val="0"/>
        <w:autoSpaceDN w:val="0"/>
        <w:adjustRightInd w:val="0"/>
        <w:snapToGrid w:val="0"/>
        <w:spacing w:line="360" w:lineRule="auto"/>
        <w:ind w:firstLine="420" w:firstLineChars="200"/>
        <w:contextualSpacing/>
        <w:jc w:val="left"/>
        <w:rPr>
          <w:rFonts w:hint="eastAsia" w:ascii="宋体" w:hAnsi="宋体" w:eastAsia="宋体" w:cs="仿宋"/>
          <w:color w:val="auto"/>
          <w:kern w:val="0"/>
          <w:szCs w:val="21"/>
          <w:highlight w:val="none"/>
          <w:u w:val="none"/>
          <w:lang w:val="en-US" w:eastAsia="zh-CN"/>
        </w:rPr>
      </w:pPr>
      <w:r>
        <w:rPr>
          <w:rFonts w:hint="eastAsia" w:ascii="宋体" w:hAnsi="宋体" w:eastAsia="宋体" w:cs="仿宋"/>
          <w:color w:val="auto"/>
          <w:kern w:val="0"/>
          <w:szCs w:val="21"/>
          <w:highlight w:val="none"/>
          <w:u w:val="none"/>
          <w:lang w:val="en-US" w:eastAsia="zh-CN"/>
        </w:rPr>
        <w:t>创意样板间户型建筑设计非最终确定版，以上选址、面积、功能、户型结构为暂定，因此最终以实际设计要求为准，创意样板间计费以最终设计面积进行结算，过程变更不另外计费。</w:t>
      </w:r>
    </w:p>
    <w:p>
      <w:pPr>
        <w:widowControl/>
        <w:autoSpaceDE w:val="0"/>
        <w:autoSpaceDN w:val="0"/>
        <w:adjustRightInd w:val="0"/>
        <w:snapToGrid w:val="0"/>
        <w:spacing w:line="360" w:lineRule="auto"/>
        <w:ind w:firstLine="420" w:firstLineChars="200"/>
        <w:contextualSpacing/>
        <w:jc w:val="left"/>
        <w:rPr>
          <w:rFonts w:hint="eastAsia" w:ascii="宋体" w:hAnsi="宋体" w:eastAsia="宋体" w:cs="仿宋"/>
          <w:color w:val="auto"/>
          <w:kern w:val="0"/>
          <w:szCs w:val="21"/>
          <w:highlight w:val="none"/>
          <w:u w:val="none"/>
          <w:lang w:val="en-US" w:eastAsia="zh-CN"/>
        </w:rPr>
      </w:pPr>
      <w:r>
        <w:rPr>
          <w:rFonts w:hint="eastAsia" w:ascii="宋体" w:hAnsi="宋体" w:eastAsia="宋体" w:cs="仿宋"/>
          <w:color w:val="auto"/>
          <w:kern w:val="0"/>
          <w:szCs w:val="21"/>
          <w:highlight w:val="none"/>
          <w:u w:val="none"/>
          <w:lang w:val="en-US" w:eastAsia="zh-CN"/>
        </w:rPr>
        <w:t>设计面积计算原则如下：（1）计算面积为该户型外部墙体中轴线以内（含内部墙体）；（2）客厅阳台按一半面积进行计算；（3）卧室与客厅阳台联通的阳台按一半面积进行计算；（4）所有凸窗按全面积进行计算；（5）一个阳台为一个房间的按全面积进行计算；（6）柱子按全面积进行计算；（6）外部设备平台不计入面积。</w:t>
      </w:r>
    </w:p>
    <w:p>
      <w:pPr>
        <w:widowControl/>
        <w:autoSpaceDE w:val="0"/>
        <w:autoSpaceDN w:val="0"/>
        <w:adjustRightInd w:val="0"/>
        <w:snapToGrid w:val="0"/>
        <w:spacing w:line="360" w:lineRule="auto"/>
        <w:ind w:firstLine="420" w:firstLineChars="200"/>
        <w:contextualSpacing/>
        <w:jc w:val="left"/>
        <w:rPr>
          <w:rFonts w:hint="eastAsia" w:ascii="宋体" w:hAnsi="宋体" w:eastAsia="宋体" w:cs="仿宋"/>
          <w:color w:val="auto"/>
          <w:kern w:val="0"/>
          <w:szCs w:val="21"/>
          <w:highlight w:val="none"/>
          <w:u w:val="none"/>
          <w:lang w:val="en-US" w:eastAsia="zh-CN"/>
        </w:rPr>
      </w:pPr>
      <w:r>
        <w:rPr>
          <w:rFonts w:hint="eastAsia" w:ascii="宋体" w:hAnsi="宋体" w:eastAsia="宋体" w:cs="仿宋"/>
          <w:color w:val="auto"/>
          <w:kern w:val="0"/>
          <w:szCs w:val="21"/>
          <w:highlight w:val="none"/>
          <w:u w:val="none"/>
          <w:lang w:val="en-US" w:eastAsia="zh-CN"/>
        </w:rPr>
        <w:t>2.2设计内容具体如下:</w:t>
      </w:r>
    </w:p>
    <w:p>
      <w:pPr>
        <w:widowControl/>
        <w:autoSpaceDE w:val="0"/>
        <w:autoSpaceDN w:val="0"/>
        <w:adjustRightInd w:val="0"/>
        <w:snapToGrid w:val="0"/>
        <w:spacing w:line="360" w:lineRule="auto"/>
        <w:ind w:firstLine="420" w:firstLineChars="200"/>
        <w:contextualSpacing/>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硬装设计：包括但不限于创意样板间的概念设计(含平面布局、意向图、造价分析等)、方案设计(含造价估算)、设计概算、施工图设计(含物料书、材料样板、建筑、结构、装饰、强弱电、智能化、消防、给排水、暖通、灯光等专业的设计)、配合工程招标及施工、配合竣工图审核、与甲方委托的单位之间的沟通配合等工作。</w:t>
      </w:r>
    </w:p>
    <w:p>
      <w:pPr>
        <w:widowControl/>
        <w:autoSpaceDE w:val="0"/>
        <w:autoSpaceDN w:val="0"/>
        <w:adjustRightInd w:val="0"/>
        <w:snapToGrid w:val="0"/>
        <w:spacing w:line="360" w:lineRule="auto"/>
        <w:ind w:firstLine="420" w:firstLineChars="200"/>
        <w:contextualSpacing/>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软装设计：包括但不限于创意样板间的各类活动家私、家电、艺术灯具、活动地毯、床品及抱枕、织物、饰品及摆件、艺术品、绿植及花艺、雕塑挂画、窗帘等。设计阶段包括但不限于概念设计阶段、方案设计阶段(含软装方案设计、点位布置图、物料清单及估算、软装设计材料样板等)、配合软装工程招标、配合软装制作、采购、安装、验收阶段。</w:t>
      </w:r>
    </w:p>
    <w:p>
      <w:pPr>
        <w:widowControl/>
        <w:autoSpaceDE w:val="0"/>
        <w:autoSpaceDN w:val="0"/>
        <w:adjustRightInd w:val="0"/>
        <w:snapToGrid w:val="0"/>
        <w:spacing w:line="360" w:lineRule="auto"/>
        <w:ind w:firstLine="420" w:firstLineChars="200"/>
        <w:contextualSpacing/>
        <w:jc w:val="lef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具体详见《设计任务书》。</w:t>
      </w:r>
    </w:p>
    <w:p>
      <w:pPr>
        <w:numPr>
          <w:ilvl w:val="0"/>
          <w:numId w:val="1"/>
        </w:numPr>
        <w:adjustRightInd w:val="0"/>
        <w:snapToGrid w:val="0"/>
        <w:spacing w:line="360" w:lineRule="auto"/>
        <w:ind w:firstLine="422" w:firstLineChars="200"/>
        <w:jc w:val="left"/>
        <w:outlineLvl w:val="0"/>
        <w:rPr>
          <w:rFonts w:ascii="宋体" w:hAnsi="宋体" w:eastAsia="宋体" w:cs="宋体"/>
          <w:b/>
          <w:bCs/>
          <w:color w:val="auto"/>
          <w:szCs w:val="21"/>
          <w:highlight w:val="none"/>
        </w:rPr>
      </w:pPr>
      <w:bookmarkStart w:id="2" w:name="OLE_LINK20"/>
      <w:r>
        <w:rPr>
          <w:rFonts w:hint="eastAsia" w:ascii="宋体" w:hAnsi="宋体" w:eastAsia="宋体" w:cs="宋体"/>
          <w:b/>
          <w:bCs/>
          <w:color w:val="auto"/>
          <w:szCs w:val="21"/>
          <w:highlight w:val="none"/>
        </w:rPr>
        <w:t>设计周期</w:t>
      </w:r>
    </w:p>
    <w:bookmarkEnd w:id="2"/>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3.1签订之日起至项目工程验收合格且办理完竣工结算为止，各阶段设计服务进度详见《设计任务书》。如因特殊情况发生休眠期（甲方有权根据项目需求单方面启动休眠期，休眠期以甲方的书面通知为准），具体执行依实际情况而定，休眠期计入服务期内，但甲方不需要支付该期间服务费用。</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3.2各阶段设计进度必须符合甲方工程建设总体进度要求，</w:t>
      </w:r>
      <w:r>
        <w:rPr>
          <w:rFonts w:ascii="宋体" w:hAnsi="宋体" w:eastAsia="宋体" w:cs="宋体"/>
          <w:color w:val="auto"/>
          <w:szCs w:val="21"/>
          <w:highlight w:val="none"/>
        </w:rPr>
        <w:t>未经甲方书面同意，乙方不得修改设计进度计划</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3.3因甲方原因未按“计划开始设计日期”开始设计的，甲方应按“实际开始设计日期”顺延“完成设计日期”。</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3.4因乙方原因导致设计进度延误的，乙方应按照第15.2条〔乙方违约责任〕承担责任。乙方支付逾期完成工程设计违约金后，不免除乙方继续完成工程设计的义务。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3.5 非甲方原因、亦非乙方原因导致设计进度延误的，由甲方和乙方协商调整设计周期。</w:t>
      </w:r>
    </w:p>
    <w:tbl>
      <w:tblPr>
        <w:tblStyle w:val="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70"/>
        <w:gridCol w:w="1187"/>
        <w:gridCol w:w="1904"/>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6" w:type="dxa"/>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70" w:type="dxa"/>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工作阶段</w:t>
            </w:r>
          </w:p>
        </w:tc>
        <w:tc>
          <w:tcPr>
            <w:tcW w:w="1187" w:type="dxa"/>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1904" w:type="dxa"/>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计划开始时间</w:t>
            </w:r>
          </w:p>
          <w:p>
            <w:pPr>
              <w:rPr>
                <w:color w:val="auto"/>
                <w:highlight w:val="none"/>
              </w:rPr>
            </w:pPr>
          </w:p>
        </w:tc>
        <w:tc>
          <w:tcPr>
            <w:tcW w:w="2590" w:type="dxa"/>
            <w:vAlign w:val="center"/>
          </w:tcPr>
          <w:p>
            <w:pPr>
              <w:adjustRightInd w:val="0"/>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6"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1</w:t>
            </w:r>
          </w:p>
        </w:tc>
        <w:tc>
          <w:tcPr>
            <w:tcW w:w="1870"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bCs/>
                <w:color w:val="auto"/>
                <w:kern w:val="2"/>
                <w:sz w:val="21"/>
                <w:szCs w:val="21"/>
                <w:highlight w:val="none"/>
                <w:lang w:eastAsia="zh-CN"/>
              </w:rPr>
              <w:t>概念设计阶段</w:t>
            </w:r>
          </w:p>
        </w:tc>
        <w:tc>
          <w:tcPr>
            <w:tcW w:w="1187"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eastAsia="zh-CN"/>
              </w:rPr>
              <w:t>日历天</w:t>
            </w:r>
          </w:p>
        </w:tc>
        <w:tc>
          <w:tcPr>
            <w:tcW w:w="1904" w:type="dxa"/>
            <w:vAlign w:val="center"/>
          </w:tcPr>
          <w:p>
            <w:pPr>
              <w:widowControl w:val="0"/>
              <w:adjustRightInd w:val="0"/>
              <w:snapToGrid w:val="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根据甲方实际要求为准</w:t>
            </w:r>
          </w:p>
          <w:p>
            <w:pPr>
              <w:widowControl w:val="0"/>
              <w:adjustRightInd w:val="0"/>
              <w:snapToGrid w:val="0"/>
              <w:jc w:val="center"/>
              <w:rPr>
                <w:rFonts w:ascii="宋体" w:hAnsi="宋体" w:eastAsia="宋体" w:cs="宋体"/>
                <w:color w:val="auto"/>
                <w:szCs w:val="21"/>
                <w:highlight w:val="none"/>
              </w:rPr>
            </w:pPr>
          </w:p>
        </w:tc>
        <w:tc>
          <w:tcPr>
            <w:tcW w:w="2590"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包含经过甲方确认上会通过的时间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6"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2</w:t>
            </w:r>
          </w:p>
        </w:tc>
        <w:tc>
          <w:tcPr>
            <w:tcW w:w="1870"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方案设计阶段（硬软装同步设计）</w:t>
            </w:r>
          </w:p>
        </w:tc>
        <w:tc>
          <w:tcPr>
            <w:tcW w:w="1187"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eastAsia="zh-CN"/>
              </w:rPr>
              <w:t>日历天</w:t>
            </w:r>
          </w:p>
        </w:tc>
        <w:tc>
          <w:tcPr>
            <w:tcW w:w="1904" w:type="dxa"/>
            <w:vAlign w:val="center"/>
          </w:tcPr>
          <w:p>
            <w:pPr>
              <w:widowControl w:val="0"/>
              <w:adjustRightInd w:val="0"/>
              <w:snapToGrid w:val="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根据甲方实际要求为准</w:t>
            </w:r>
          </w:p>
          <w:p>
            <w:pPr>
              <w:widowControl w:val="0"/>
              <w:adjustRightInd w:val="0"/>
              <w:snapToGrid w:val="0"/>
              <w:jc w:val="center"/>
              <w:rPr>
                <w:rFonts w:ascii="宋体" w:hAnsi="宋体" w:eastAsia="宋体" w:cs="宋体"/>
                <w:color w:val="auto"/>
                <w:szCs w:val="21"/>
                <w:highlight w:val="none"/>
              </w:rPr>
            </w:pPr>
          </w:p>
        </w:tc>
        <w:tc>
          <w:tcPr>
            <w:tcW w:w="2590"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包含经过甲方确认上会通过的时间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66"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3</w:t>
            </w:r>
          </w:p>
        </w:tc>
        <w:tc>
          <w:tcPr>
            <w:tcW w:w="1870"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施工图设计阶段（硬软装同步设计）</w:t>
            </w:r>
          </w:p>
        </w:tc>
        <w:tc>
          <w:tcPr>
            <w:tcW w:w="1187"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60</w:t>
            </w:r>
            <w:r>
              <w:rPr>
                <w:rFonts w:hint="eastAsia" w:ascii="宋体" w:hAnsi="宋体" w:eastAsia="宋体" w:cs="宋体"/>
                <w:color w:val="auto"/>
                <w:kern w:val="2"/>
                <w:sz w:val="21"/>
                <w:szCs w:val="21"/>
                <w:highlight w:val="none"/>
                <w:lang w:eastAsia="zh-CN"/>
              </w:rPr>
              <w:t>日历天</w:t>
            </w:r>
          </w:p>
        </w:tc>
        <w:tc>
          <w:tcPr>
            <w:tcW w:w="1904" w:type="dxa"/>
            <w:vAlign w:val="center"/>
          </w:tcPr>
          <w:p>
            <w:pPr>
              <w:widowControl w:val="0"/>
              <w:adjustRightInd w:val="0"/>
              <w:snapToGrid w:val="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根据甲方实际要求为准</w:t>
            </w:r>
          </w:p>
          <w:p>
            <w:pPr>
              <w:widowControl w:val="0"/>
              <w:adjustRightInd w:val="0"/>
              <w:snapToGrid w:val="0"/>
              <w:jc w:val="center"/>
              <w:rPr>
                <w:rFonts w:ascii="宋体" w:hAnsi="宋体" w:eastAsia="宋体" w:cs="宋体"/>
                <w:color w:val="auto"/>
                <w:szCs w:val="21"/>
                <w:highlight w:val="none"/>
              </w:rPr>
            </w:pPr>
          </w:p>
        </w:tc>
        <w:tc>
          <w:tcPr>
            <w:tcW w:w="2590"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olor w:val="auto"/>
                <w:kern w:val="2"/>
                <w:sz w:val="21"/>
                <w:szCs w:val="21"/>
                <w:highlight w:val="none"/>
                <w:lang w:eastAsia="zh-CN"/>
              </w:rPr>
              <w:t>施工</w:t>
            </w:r>
            <w:r>
              <w:rPr>
                <w:rFonts w:ascii="宋体" w:hAnsi="宋体" w:eastAsia="宋体"/>
                <w:color w:val="auto"/>
                <w:kern w:val="2"/>
                <w:sz w:val="21"/>
                <w:szCs w:val="21"/>
                <w:highlight w:val="none"/>
                <w:lang w:eastAsia="zh-CN"/>
              </w:rPr>
              <w:t>图设计</w:t>
            </w:r>
            <w:r>
              <w:rPr>
                <w:rFonts w:hint="eastAsia" w:ascii="宋体" w:hAnsi="宋体" w:eastAsia="宋体"/>
                <w:color w:val="auto"/>
                <w:kern w:val="2"/>
                <w:sz w:val="21"/>
                <w:szCs w:val="21"/>
                <w:highlight w:val="none"/>
                <w:lang w:eastAsia="zh-CN"/>
              </w:rPr>
              <w:t>阶段工期包含</w:t>
            </w:r>
            <w:r>
              <w:rPr>
                <w:rFonts w:ascii="宋体" w:hAnsi="宋体" w:eastAsia="宋体"/>
                <w:color w:val="auto"/>
                <w:kern w:val="2"/>
                <w:sz w:val="21"/>
                <w:szCs w:val="21"/>
                <w:highlight w:val="none"/>
                <w:lang w:eastAsia="zh-CN"/>
              </w:rPr>
              <w:t>报审及</w:t>
            </w:r>
            <w:r>
              <w:rPr>
                <w:rFonts w:hint="eastAsia" w:ascii="宋体" w:hAnsi="宋体" w:eastAsia="宋体"/>
                <w:color w:val="auto"/>
                <w:kern w:val="2"/>
                <w:sz w:val="21"/>
                <w:szCs w:val="21"/>
                <w:highlight w:val="none"/>
                <w:lang w:eastAsia="zh-CN"/>
              </w:rPr>
              <w:t>根据</w:t>
            </w:r>
            <w:r>
              <w:rPr>
                <w:rFonts w:ascii="宋体" w:hAnsi="宋体" w:eastAsia="宋体"/>
                <w:color w:val="auto"/>
                <w:kern w:val="2"/>
                <w:sz w:val="21"/>
                <w:szCs w:val="21"/>
                <w:highlight w:val="none"/>
                <w:lang w:eastAsia="zh-CN"/>
              </w:rPr>
              <w:t>意见调整，直至</w:t>
            </w:r>
            <w:r>
              <w:rPr>
                <w:rFonts w:hint="eastAsia" w:ascii="宋体" w:hAnsi="宋体" w:eastAsia="宋体"/>
                <w:color w:val="auto"/>
                <w:kern w:val="2"/>
                <w:sz w:val="21"/>
                <w:szCs w:val="21"/>
                <w:highlight w:val="none"/>
                <w:lang w:eastAsia="zh-CN"/>
              </w:rPr>
              <w:t>完成</w:t>
            </w:r>
            <w:r>
              <w:rPr>
                <w:rFonts w:ascii="宋体" w:hAnsi="宋体" w:eastAsia="宋体"/>
                <w:color w:val="auto"/>
                <w:kern w:val="2"/>
                <w:sz w:val="21"/>
                <w:szCs w:val="21"/>
                <w:highlight w:val="none"/>
                <w:lang w:eastAsia="zh-CN"/>
              </w:rPr>
              <w:t>施工图纸正式出图</w:t>
            </w:r>
            <w:r>
              <w:rPr>
                <w:rFonts w:hint="eastAsia" w:ascii="宋体" w:hAnsi="宋体" w:eastAsia="宋体"/>
                <w:color w:val="auto"/>
                <w:kern w:val="2"/>
                <w:sz w:val="21"/>
                <w:szCs w:val="21"/>
                <w:highlight w:val="none"/>
                <w:lang w:eastAsia="zh-CN"/>
              </w:rPr>
              <w:t>的时间</w:t>
            </w:r>
            <w:r>
              <w:rPr>
                <w:rFonts w:ascii="宋体" w:hAnsi="宋体" w:eastAsia="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66"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4</w:t>
            </w:r>
          </w:p>
        </w:tc>
        <w:tc>
          <w:tcPr>
            <w:tcW w:w="1870"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施工阶段配合阶段</w:t>
            </w:r>
          </w:p>
        </w:tc>
        <w:tc>
          <w:tcPr>
            <w:tcW w:w="1187"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全过程</w:t>
            </w:r>
          </w:p>
        </w:tc>
        <w:tc>
          <w:tcPr>
            <w:tcW w:w="1904" w:type="dxa"/>
            <w:vAlign w:val="center"/>
          </w:tcPr>
          <w:p>
            <w:pPr>
              <w:widowControl w:val="0"/>
              <w:adjustRightInd w:val="0"/>
              <w:snapToGrid w:val="0"/>
              <w:jc w:val="center"/>
              <w:rPr>
                <w:rFonts w:ascii="Times New Roman" w:hAnsi="Times New Roman" w:eastAsia="宋体" w:cs="Times New Roman"/>
                <w:color w:val="auto"/>
                <w:szCs w:val="20"/>
                <w:highlight w:val="none"/>
              </w:rPr>
            </w:pPr>
            <w:r>
              <w:rPr>
                <w:rFonts w:hint="eastAsia" w:ascii="宋体" w:hAnsi="宋体" w:eastAsia="宋体" w:cs="宋体"/>
                <w:color w:val="auto"/>
                <w:kern w:val="2"/>
                <w:sz w:val="21"/>
                <w:szCs w:val="21"/>
                <w:highlight w:val="none"/>
                <w:lang w:eastAsia="zh-CN"/>
              </w:rPr>
              <w:t>根据甲方实际要求为准</w:t>
            </w:r>
          </w:p>
        </w:tc>
        <w:tc>
          <w:tcPr>
            <w:tcW w:w="2590" w:type="dxa"/>
            <w:vAlign w:val="center"/>
          </w:tcPr>
          <w:p>
            <w:pPr>
              <w:widowControl w:val="0"/>
              <w:adjustRightInd w:val="0"/>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66"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5</w:t>
            </w:r>
          </w:p>
        </w:tc>
        <w:tc>
          <w:tcPr>
            <w:tcW w:w="1870"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配合竣工图阶段</w:t>
            </w:r>
          </w:p>
        </w:tc>
        <w:tc>
          <w:tcPr>
            <w:tcW w:w="1187" w:type="dxa"/>
            <w:vAlign w:val="center"/>
          </w:tcPr>
          <w:p>
            <w:pPr>
              <w:widowControl w:val="0"/>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全过程</w:t>
            </w:r>
          </w:p>
        </w:tc>
        <w:tc>
          <w:tcPr>
            <w:tcW w:w="1904" w:type="dxa"/>
            <w:vAlign w:val="center"/>
          </w:tcPr>
          <w:p>
            <w:pPr>
              <w:widowControl w:val="0"/>
              <w:adjustRightInd w:val="0"/>
              <w:snapToGrid w:val="0"/>
              <w:jc w:val="center"/>
              <w:rPr>
                <w:color w:val="auto"/>
                <w:highlight w:val="none"/>
              </w:rPr>
            </w:pPr>
            <w:r>
              <w:rPr>
                <w:rFonts w:hint="eastAsia" w:ascii="宋体" w:hAnsi="宋体" w:eastAsia="宋体" w:cs="宋体"/>
                <w:color w:val="auto"/>
                <w:kern w:val="2"/>
                <w:sz w:val="21"/>
                <w:szCs w:val="21"/>
                <w:highlight w:val="none"/>
                <w:lang w:eastAsia="zh-CN"/>
              </w:rPr>
              <w:t>根据甲方实际要求为准</w:t>
            </w:r>
          </w:p>
        </w:tc>
        <w:tc>
          <w:tcPr>
            <w:tcW w:w="2590" w:type="dxa"/>
            <w:vAlign w:val="center"/>
          </w:tcPr>
          <w:p>
            <w:pPr>
              <w:widowControl w:val="0"/>
              <w:adjustRightInd w:val="0"/>
              <w:snapToGrid w:val="0"/>
              <w:jc w:val="center"/>
              <w:rPr>
                <w:rFonts w:ascii="宋体" w:hAnsi="宋体" w:eastAsia="宋体" w:cs="宋体"/>
                <w:color w:val="auto"/>
                <w:szCs w:val="21"/>
                <w:highlight w:val="none"/>
              </w:rPr>
            </w:pPr>
          </w:p>
        </w:tc>
      </w:tr>
    </w:tbl>
    <w:p>
      <w:pPr>
        <w:numPr>
          <w:ilvl w:val="0"/>
          <w:numId w:val="1"/>
        </w:numPr>
        <w:adjustRightInd w:val="0"/>
        <w:snapToGrid w:val="0"/>
        <w:spacing w:line="360" w:lineRule="auto"/>
        <w:ind w:firstLine="422" w:firstLineChars="200"/>
        <w:jc w:val="left"/>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设计管理模式</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乙方就各阶段的设计成果及最终工作成果向甲方提交，并进行每阶段设计汇报，由甲方按照本合同约定对提交的阶段性成果及最终工作成果提出书面修改要求、修改意见和书面确认。设计各阶段成果要求详见《设计任务书》。</w:t>
      </w:r>
    </w:p>
    <w:p>
      <w:pPr>
        <w:numPr>
          <w:ilvl w:val="0"/>
          <w:numId w:val="1"/>
        </w:numPr>
        <w:adjustRightInd w:val="0"/>
        <w:snapToGrid w:val="0"/>
        <w:spacing w:line="360" w:lineRule="auto"/>
        <w:ind w:firstLine="422" w:firstLineChars="200"/>
        <w:jc w:val="left"/>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设计依据</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5.1甲方提供的项目相关资料及图纸；</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5.2主要设计规范及标准；</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5.3设计任务书及其附件的要求；</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5.4招标文件、补遗书和答疑书等；</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5.5中标方案调整意见；</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5.6各阶段设计文件审查意见；</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5.7深圳市委、市政府和甲方有关本项目的会议纪要内容；</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5.8新材料、新工艺的应用由国家权威部门认定，并由推荐使用的部门提出所执行的施工规范及质量评定标准，经甲方同意后方可使用；</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5.9设计中涉及安全、消防、无障碍设计等相关的规范要求；</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5.10、甲方成本管理部门提供的相关设计限价额度文件；</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5.11其他有关资料。</w:t>
      </w:r>
    </w:p>
    <w:p>
      <w:pPr>
        <w:numPr>
          <w:ilvl w:val="0"/>
          <w:numId w:val="1"/>
        </w:numPr>
        <w:adjustRightInd w:val="0"/>
        <w:snapToGrid w:val="0"/>
        <w:spacing w:line="360" w:lineRule="auto"/>
        <w:ind w:firstLine="422" w:firstLineChars="200"/>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甲方的权利与义务</w:t>
      </w:r>
    </w:p>
    <w:p>
      <w:pPr>
        <w:pStyle w:val="10"/>
        <w:adjustRightInd w:val="0"/>
        <w:snapToGrid w:val="0"/>
        <w:spacing w:line="360" w:lineRule="auto"/>
        <w:ind w:firstLine="420" w:firstLineChars="200"/>
        <w:rPr>
          <w:rFonts w:ascii="宋体" w:hAnsi="宋体"/>
          <w:color w:val="auto"/>
          <w:szCs w:val="21"/>
          <w:highlight w:val="none"/>
        </w:rPr>
      </w:pPr>
      <w:bookmarkStart w:id="3" w:name="_Hlk174307847"/>
      <w:r>
        <w:rPr>
          <w:rFonts w:hint="eastAsia" w:ascii="宋体" w:hAnsi="宋体"/>
          <w:color w:val="auto"/>
          <w:szCs w:val="21"/>
          <w:highlight w:val="none"/>
        </w:rPr>
        <w:t>6.1对工程设计过程的决策、控制、实施等环节实行全面管理，协调和监督设计工作开展，控制设计过程，进行中间验收，组织成果审查。</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6.2检查乙方服务人员的资历、到位情况和团队稳定情况，如因资历、人力、能力不足致使设计工作不能按计划完成时，可要求乙方增加或替换相应的技术人员，乙方应在七日内落实响应，不得无故拖延或拒绝, 否则甲方有权单方面解除合同。根据工程需要，甲方有权要求相关乙方专业人员驻现场设计或在甲方提供的场所进行办公，乙方应予以配合。</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6.3检查乙方是否执行了限额设计指标，审批设计变更，及时评估设计单位投资控制情况，确保设计不突破设计限额，甲方有权调整设计限额。</w:t>
      </w:r>
    </w:p>
    <w:p>
      <w:pPr>
        <w:pStyle w:val="10"/>
        <w:adjustRightInd w:val="0"/>
        <w:snapToGrid w:val="0"/>
        <w:spacing w:line="360" w:lineRule="auto"/>
        <w:ind w:firstLine="420" w:firstLineChars="200"/>
        <w:rPr>
          <w:rFonts w:ascii="宋体" w:hAnsi="宋体"/>
          <w:color w:val="auto"/>
          <w:szCs w:val="21"/>
          <w:highlight w:val="none"/>
        </w:rPr>
      </w:pPr>
      <w:bookmarkStart w:id="4" w:name="_Toc374105875"/>
      <w:bookmarkStart w:id="5" w:name="_Toc374106130"/>
      <w:bookmarkStart w:id="6" w:name="_Toc374106304"/>
      <w:r>
        <w:rPr>
          <w:rFonts w:hint="eastAsia" w:ascii="宋体" w:hAnsi="宋体"/>
          <w:color w:val="auto"/>
          <w:szCs w:val="21"/>
          <w:highlight w:val="none"/>
        </w:rPr>
        <w:t>6.4负责组织审查和确认各设计阶段的设计成果。</w:t>
      </w:r>
      <w:bookmarkEnd w:id="4"/>
      <w:bookmarkEnd w:id="5"/>
      <w:bookmarkEnd w:id="6"/>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6.5负责提供满足本工程设计所需要的基础资料。</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6.6指派专人负责与乙方联系，对乙方提供的设计文件应及时组织审查上报，及时答复乙方提出的有关问题。</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6.7协调设计外部工作，跟踪掌握主管部门或行业管理部门对工程设计的审批情况。</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6.8按照有关规定，组织完成施工图设计文件审查。</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6.9有权参与或聘请技术专家参与乙方的技术方案优化评选，在听取各方意见后确定技术方案。</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6.10负责进行组织向相关主管部门申报审批工作，负责组织图纸会审、设计施工交底和工程验收。</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6.11有权督促检查设计进度、设计深度、参与各设计阶段的设计管理。有权参加或委托设计统筹单位人员参加乙方内部的项目技术讨论会，有权到乙方单位查看设计进度情况。</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6.12甲方有权随时向乙方工作人员了解项目进展情况，如遇突发事件、紧急情况，乙方应在第一时间内告知甲方。</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6.13在乙方按合同履约的前提下，甲方按合同规定支付进度款。</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6.14根据项目需要，甲方需额外增加工作内容且在乙方能力范围内的，超出本合同约定范围的部分，由甲乙双方另行商议并签订补充协议。</w:t>
      </w:r>
    </w:p>
    <w:p>
      <w:pPr>
        <w:pStyle w:val="10"/>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6.15由于政府（政府部门）政策、决定、通知或海绵城市、航空限高审批、不可抗力等原因，甲方需要延迟项目设计进度或者停工的，乙方必须无条件执行，甲方不承担由此产生的任何费用；因上述原因，甲方需要终止或者解除合同的，甲方除按合同条款根据乙方实际完成的工作量进行结算外，无须向乙方支付任何补偿或</w:t>
      </w:r>
      <w:r>
        <w:rPr>
          <w:rFonts w:hint="eastAsia" w:ascii="宋体" w:hAnsi="宋体" w:cs="宋体"/>
          <w:color w:val="auto"/>
          <w:szCs w:val="21"/>
          <w:highlight w:val="none"/>
        </w:rPr>
        <w:t>赔偿或承担其他法律责任。</w:t>
      </w:r>
    </w:p>
    <w:p>
      <w:pPr>
        <w:pStyle w:val="1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6.16甲方有权按项目需要调整设计进度。</w:t>
      </w:r>
    </w:p>
    <w:p>
      <w:pPr>
        <w:pStyle w:val="1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6.17甲方有权书面通知乙方，根据当地政府主管部门的要求和各设计阶段的审批意见，对本项目的设计做适当或必要的修改，乙方应积极配合，并有义务为甲方变更、补充、完善、修改设计文件。</w:t>
      </w:r>
    </w:p>
    <w:p>
      <w:pPr>
        <w:pStyle w:val="1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6.18如乙方提交的设计文件没有达到规定的设计深度或质量，甲方有权扣减相应的设计费，连续三次修改后仍不能取得甲方、专家、或政府相关部门的评审认可或审批批复的，甲方有权单方面解除合同。解除合同后，乙方的费用按工作量的50%结算，造成甲方损失的，乙方需承担赔偿责任。</w:t>
      </w:r>
    </w:p>
    <w:p>
      <w:pPr>
        <w:pStyle w:val="1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6.19甲方有权要求乙方参与甲方组织或甲方委托相关单位组织的会议，包括但不限于讨论会、咨询会、专家评审会等与本项目相关的一切会议，会议通知以甲方通知为准。</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6.20甲</w:t>
      </w:r>
      <w:r>
        <w:rPr>
          <w:rFonts w:hint="eastAsia" w:ascii="宋体" w:hAnsi="宋体" w:eastAsia="宋体" w:cs="宋体"/>
          <w:color w:val="auto"/>
          <w:kern w:val="0"/>
          <w:szCs w:val="21"/>
          <w:highlight w:val="none"/>
        </w:rPr>
        <w:t>方代表（项目设计负责人）姓名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，联系方式：</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w:t>
      </w:r>
    </w:p>
    <w:p>
      <w:pPr>
        <w:numPr>
          <w:ilvl w:val="0"/>
          <w:numId w:val="1"/>
        </w:numPr>
        <w:adjustRightInd w:val="0"/>
        <w:snapToGrid w:val="0"/>
        <w:spacing w:line="360" w:lineRule="auto"/>
        <w:ind w:firstLine="422" w:firstLineChars="200"/>
        <w:jc w:val="left"/>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乙方的权利与义务</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收到甲方提供的基础资料后,乙方应仔细阅读,如发现任何遗漏、缺失或存在不明晰、错误、失误或缺陷等情况,应在收到文件资料后3日内向甲方书面一次性提出,否则视为甲方的资料完整、明晰、无错漏及瑕疵。乙方应对甲方提供资料自行理解并就理解的准确性自行负责。</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7.2乙方必须根据工程设计依据文件及有关的技术要求，以高于国家有关的设计标准、技术规范、规程完成设计工作，并确保设计</w:t>
      </w:r>
      <w:r>
        <w:rPr>
          <w:rFonts w:ascii="宋体" w:hAnsi="宋体"/>
          <w:color w:val="auto"/>
          <w:szCs w:val="21"/>
          <w:highlight w:val="none"/>
        </w:rPr>
        <w:t>符合国家、省、市的</w:t>
      </w:r>
      <w:r>
        <w:rPr>
          <w:rFonts w:hint="eastAsia" w:ascii="宋体" w:hAnsi="宋体"/>
          <w:color w:val="auto"/>
          <w:szCs w:val="21"/>
          <w:highlight w:val="none"/>
        </w:rPr>
        <w:t>各种</w:t>
      </w:r>
      <w:r>
        <w:rPr>
          <w:rFonts w:ascii="宋体" w:hAnsi="宋体"/>
          <w:color w:val="auto"/>
          <w:szCs w:val="21"/>
          <w:highlight w:val="none"/>
        </w:rPr>
        <w:t>规定和规范，设计内容及深度必须符合甲方及其他甲方委托的专业审图单位要求以及甲方向政府进行申报及各种技术论证、手续所需的深度</w:t>
      </w:r>
      <w:r>
        <w:rPr>
          <w:rFonts w:hint="eastAsia" w:ascii="宋体" w:hAnsi="宋体"/>
          <w:color w:val="auto"/>
          <w:szCs w:val="21"/>
          <w:highlight w:val="none"/>
        </w:rPr>
        <w:t>。</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在甲方未对工作成果进行定稿确认前，甲方对工作成果、研究结果有异议时，乙方须按照甲方要求对工作成果、研究成果进行修改。</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7.3乙方对其设计结果负有向甲方做汇报会议的义务，汇报时间、地点由甲方确定，进度汇报需每周不少于一次，成果汇报根据甲方要求的时间确定。</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乙方的设计图纸应完整，细部做法及节点大样要做到准确、完整并施工可行；出图标准应符合国家及地方有关设计规范及甲方设计任务书要求。每张图纸内容必须独立完整、标准详尽。乙方完成的最终设计文件，应当符合本工程各阶段报建深度要求，并能够通过政府建设主管部门的审批或第三方审图机构审查或甲方的书面确认。否则，乙方应按照设计审查机构、政府相关主管部门的要求和批复修改、补充和完善设计文件直至满足合同要求和付款条件。</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7.5乙方应保证</w:t>
      </w:r>
      <w:r>
        <w:rPr>
          <w:rFonts w:ascii="宋体" w:hAnsi="宋体"/>
          <w:color w:val="auto"/>
          <w:szCs w:val="21"/>
          <w:highlight w:val="none"/>
        </w:rPr>
        <w:t>设计图纸所使用的材料属于通用型产品以保证项目的开发经济性要求，设计应充分考虑现有施工技术，选择易于采购及施工的材料</w:t>
      </w:r>
      <w:r>
        <w:rPr>
          <w:rFonts w:hint="eastAsia" w:ascii="宋体" w:hAnsi="宋体"/>
          <w:color w:val="auto"/>
          <w:szCs w:val="21"/>
          <w:highlight w:val="none"/>
        </w:rPr>
        <w:t>。</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7.6乙方对新工艺、新技术、新材料、新设备的运用，应报甲方确认，必要时组织有关专家论证。一般材料选用和设备系统的设计，则应在方案设计阶段就提出有关技术参数及其建议的设备型号和规格。</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7.7乙方的各阶段</w:t>
      </w:r>
      <w:r>
        <w:rPr>
          <w:rFonts w:ascii="宋体" w:hAnsi="宋体"/>
          <w:color w:val="auto"/>
          <w:szCs w:val="21"/>
          <w:highlight w:val="none"/>
        </w:rPr>
        <w:t>设计应保证落地性，确保设计按效果</w:t>
      </w:r>
      <w:r>
        <w:rPr>
          <w:rFonts w:hint="eastAsia" w:ascii="宋体" w:hAnsi="宋体"/>
          <w:color w:val="auto"/>
          <w:szCs w:val="21"/>
          <w:highlight w:val="none"/>
        </w:rPr>
        <w:t>图</w:t>
      </w:r>
      <w:r>
        <w:rPr>
          <w:rFonts w:ascii="宋体" w:hAnsi="宋体"/>
          <w:color w:val="auto"/>
          <w:szCs w:val="21"/>
          <w:highlight w:val="none"/>
        </w:rPr>
        <w:t>还原</w:t>
      </w:r>
      <w:r>
        <w:rPr>
          <w:rFonts w:hint="eastAsia" w:ascii="宋体" w:hAnsi="宋体"/>
          <w:color w:val="auto"/>
          <w:szCs w:val="21"/>
          <w:highlight w:val="none"/>
        </w:rPr>
        <w:t>。</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7.8对涉及安全或对投资影响重大的有关计算，甲方认为有必要进行复核验算时，乙方应提供其计算过程及结果文件，不得以商业秘密或知识产权等其他借口拒绝提供。</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7.9乙方应</w:t>
      </w:r>
      <w:r>
        <w:rPr>
          <w:rFonts w:ascii="宋体" w:hAnsi="宋体"/>
          <w:color w:val="auto"/>
          <w:szCs w:val="21"/>
          <w:highlight w:val="none"/>
        </w:rPr>
        <w:t>根据甲方成本管理部门提供的相关设计额度要求进行设计</w:t>
      </w:r>
      <w:r>
        <w:rPr>
          <w:rFonts w:hint="eastAsia" w:ascii="宋体" w:hAnsi="宋体"/>
          <w:color w:val="auto"/>
          <w:szCs w:val="21"/>
          <w:highlight w:val="none"/>
        </w:rPr>
        <w:t>，并保证设计质量，严格控制设计变更，确保工程初步设计概算不突破甲方提供的设计限额。乙方有义务确保施工图预算不突破甲方批复的工程初步设计概算。</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7.10乙方对各阶段设计成果的设计深度和质量负责，甲方、政府部门或相关单位的审查并不减少乙方的责任。乙方需根据甲方提交的设计文件审查意见修改设计文件。</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7.11在合同履行期间，若涉及重大技术问题的解决方案，乙方应向甲方及时提出书面审查申请，并自行组织专家论证。</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7.12乙方在设计时应到现场复核现场尺寸及并根据工程现场条件进行设计。</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7.13乙方应积极主动地进行与工程有关的内、外协调工作，做好与甲方、甲方委托的其他单位、监理、承包商设备和材料供应商、政府相关管理部门等单位协调、沟通工作。</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7.14乙方按时参加甲方安排的本项目设计的审查、设计各阶段会议、设计交底会议和其他设计相关重要会议等，并形成会议纪要，乙方可以对设计文件作必要的解释。</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7.15参与甲方组织的与本工程有关的考察、调研，费用自理。</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7.16应积极配合甲方要求的各阶段检查和过程检查，积极配合甲方组织的对设计工作有积极作用的相关活动及考察活动。</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7.17为应对设计责任风险，乙方应购买建设工程设计责任险。乙方应按照其注册地以及本项目地的有关法律法规的规定购买有关保险，但甲方不承担与此相关的任何费用及责任。</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7.18对甲方的资料和与该项目有关的设计文件，乙方有保密的义务。</w:t>
      </w:r>
    </w:p>
    <w:p>
      <w:pPr>
        <w:pStyle w:val="10"/>
        <w:adjustRightInd w:val="0"/>
        <w:snapToGrid w:val="0"/>
        <w:spacing w:line="360" w:lineRule="auto"/>
        <w:ind w:firstLine="420" w:firstLineChars="200"/>
        <w:rPr>
          <w:rFonts w:ascii="宋体" w:hAnsi="宋体"/>
          <w:color w:val="auto"/>
          <w:szCs w:val="21"/>
          <w:highlight w:val="none"/>
        </w:rPr>
      </w:pPr>
      <w:bookmarkStart w:id="7" w:name="_Toc374105878"/>
      <w:bookmarkStart w:id="8" w:name="_Toc374106133"/>
      <w:bookmarkStart w:id="9" w:name="_Toc374106307"/>
      <w:r>
        <w:rPr>
          <w:rFonts w:hint="eastAsia" w:ascii="宋体" w:hAnsi="宋体"/>
          <w:color w:val="auto"/>
          <w:szCs w:val="21"/>
          <w:highlight w:val="none"/>
        </w:rPr>
        <w:t>7.19项目设计部组成人员构成应合理、稳定，主要技术骨干工作能力应足以胜任设计工作并满足甲方的要求。</w:t>
      </w:r>
      <w:bookmarkEnd w:id="7"/>
      <w:bookmarkEnd w:id="8"/>
      <w:bookmarkEnd w:id="9"/>
      <w:r>
        <w:rPr>
          <w:rFonts w:hint="eastAsia" w:ascii="宋体" w:hAnsi="宋体"/>
          <w:color w:val="auto"/>
          <w:szCs w:val="21"/>
          <w:highlight w:val="none"/>
        </w:rPr>
        <w:t>甲方有权要求撤换不能达到甲方要求的设计人员并对拟派人员进行挑选，乙方不予撤换或撤换人员仍未达到甲方要求的，按违约处理。</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7.20为了保证本项目乙方人员全力投入设计工作，在各阶段设计过程中，乙方应保证本项目组团队人员全身心投入，不得随意安排乙方公司投标团队人员以外人员参与本项目设计工作，无充分理由不得中途更换设计人员，乙方应为本项目全程设置专门的设计对接负责人，该负责人必须足以胜任本项目设计工作，应服从甲方的项目进度安排，按节点要求提交合格的成果资料，并按甲方要求参加相关项目会议。</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7.21乙方对设计过程中所需的设计资料或其它需甲方配合的事项应及时通知甲方。</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7.22乙方负责向甲方及施工单位进行设计交底、现场施工过程配合、处理有关设计问题、参加设计管理、进度、质量、技术的有关会议、工程例会、工程会议、参加相关验收，签署相关文件和出具具有效力的相关设计文件，配合相关竣工资料编制、归档、取得相关竣工证明等工作，并签署意见。</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7.23协助甲方进行设计质量事故、应急事件的调查和处理。</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7.24乙方应遵守国家法律和行政法规以及本合同的约定，不得损害甲方利益和任何第三者的利益，不得泄露涉及工程等相关的任何商业秘密。</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7.25乙方项目负责人及对接人员在工作日内必须24小时保持通讯畅通。</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7.26工程开工后，乙方应派遣合格的设计代表，指导、配合施工，及时解决施工中出现的设计问题。甲方有权要求相关乙方专业人员驻现场设计或在甲方提供的场所进行办公，乙方应予以配合。</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7.27对于甲方提出的书面问题和建议，原则上应于2个工作日内给予应答，特殊情况经甲方认可后可以延期，否则，视为延误工作。</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7.28乙方负责人应保证在甲方提出要求后48小时内及时赶赴项目现场处理相关问题。</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7.29乙方自行制作汇报所用的各类演示稿、效果图、模型等；甲方需要制作三维动画时，乙方配合提供有关资料及电子文档。</w:t>
      </w:r>
    </w:p>
    <w:p>
      <w:pPr>
        <w:pStyle w:val="1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7.30在设计文件报送各有关部门审批过程中，乙方须在人力、物力上予以协助。同时须配合进行各类审查、研讨会、专家评审会设计文件的送达工作。</w:t>
      </w:r>
    </w:p>
    <w:p>
      <w:pPr>
        <w:pStyle w:val="1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7.31乙方应指导与配合模型、效果图等招商所需用品的制作；如甲方需要进行有关宣传报道、编制画册、召开产品说明会、设计研讨会等，乙方应派员参加。</w:t>
      </w:r>
    </w:p>
    <w:p>
      <w:pPr>
        <w:pStyle w:val="10"/>
        <w:adjustRightInd w:val="0"/>
        <w:snapToGrid w:val="0"/>
        <w:spacing w:line="360" w:lineRule="auto"/>
        <w:ind w:firstLine="420" w:firstLineChars="200"/>
        <w:rPr>
          <w:rFonts w:hint="eastAsia" w:ascii="宋体" w:hAnsi="宋体" w:eastAsia="宋体"/>
          <w:color w:val="auto"/>
          <w:szCs w:val="21"/>
          <w:highlight w:val="none"/>
          <w:lang w:val="en-US" w:eastAsia="zh-CN"/>
        </w:rPr>
      </w:pPr>
      <w:r>
        <w:rPr>
          <w:rFonts w:hint="default" w:ascii="宋体" w:hAnsi="宋体"/>
          <w:color w:val="auto"/>
          <w:szCs w:val="21"/>
          <w:highlight w:val="none"/>
          <w:lang w:val="en-US" w:eastAsia="zh-CN"/>
        </w:rPr>
        <w:t>7.32乙方需主动争取各类设计奖项申报，申报奖项须加上甲方团队指导人员名单。</w:t>
      </w:r>
    </w:p>
    <w:p>
      <w:pPr>
        <w:numPr>
          <w:ilvl w:val="0"/>
          <w:numId w:val="1"/>
        </w:numPr>
        <w:adjustRightInd w:val="0"/>
        <w:snapToGrid w:val="0"/>
        <w:spacing w:line="360" w:lineRule="auto"/>
        <w:ind w:firstLine="422" w:firstLineChars="200"/>
        <w:jc w:val="left"/>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设计人员要求</w:t>
      </w:r>
    </w:p>
    <w:p>
      <w:pPr>
        <w:adjustRightInd w:val="0"/>
        <w:snapToGrid w:val="0"/>
        <w:spacing w:line="360" w:lineRule="auto"/>
        <w:ind w:firstLine="420" w:firstLineChars="200"/>
        <w:jc w:val="left"/>
        <w:rPr>
          <w:rFonts w:ascii="宋体" w:hAnsi="宋体" w:eastAsia="宋体" w:cs="Times New Roman"/>
          <w:color w:val="auto"/>
          <w:szCs w:val="21"/>
          <w:highlight w:val="none"/>
        </w:rPr>
      </w:pPr>
      <w:bookmarkStart w:id="10" w:name="_Toc386646289"/>
      <w:bookmarkStart w:id="11" w:name="_Toc387914241"/>
      <w:bookmarkStart w:id="12" w:name="_Toc387914438"/>
      <w:bookmarkStart w:id="13" w:name="_Toc386646454"/>
      <w:r>
        <w:rPr>
          <w:rFonts w:hint="eastAsia" w:ascii="宋体" w:hAnsi="宋体" w:eastAsia="宋体" w:cs="Times New Roman"/>
          <w:szCs w:val="21"/>
          <w:highlight w:val="none"/>
        </w:rPr>
        <w:t>8.1乙方按照投标时承诺的团队人员表，安排设计人员投入本项目工作，配备</w:t>
      </w:r>
      <w:r>
        <w:rPr>
          <w:rFonts w:hint="eastAsia" w:ascii="宋体" w:hAnsi="宋体" w:eastAsia="宋体" w:cs="Times New Roman"/>
          <w:szCs w:val="21"/>
          <w:highlight w:val="none"/>
        </w:rPr>
        <w:t>项目负责人、硬装方案设计负责人、软装方案设计负责人、硬装方案设计师、软装方案设计师、硬装施工图负责人、硬装施工图设计师，给排水、暖通、强电、弱电、智能化专业设计师、驻场设计师、商务负责人等</w:t>
      </w:r>
      <w:r>
        <w:rPr>
          <w:rFonts w:hint="eastAsia" w:ascii="宋体" w:hAnsi="宋体" w:eastAsia="宋体" w:cs="Times New Roman"/>
          <w:szCs w:val="21"/>
          <w:highlight w:val="none"/>
        </w:rPr>
        <w:t>（其中，项目负责人、硬装方案设计负责人、软装方案设计负责人不得兼任）。乙方应保证本项目组团队人员全身心投入，不得随意安排团队人员以外人员参与本项目设计工作，无充分理由不得中途更换投标团队人员。</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8.2乙方须指派的设计代表负责施工过程中的设计联络和施工配合服务工作</w:t>
      </w:r>
      <w:r>
        <w:rPr>
          <w:rFonts w:hint="eastAsia" w:ascii="宋体" w:hAnsi="宋体" w:eastAsia="宋体" w:cs="宋体"/>
          <w:b/>
          <w:bCs/>
          <w:color w:val="auto"/>
          <w:kern w:val="0"/>
          <w:szCs w:val="21"/>
          <w:highlight w:val="none"/>
          <w:lang w:val="en-US" w:eastAsia="zh-CN"/>
        </w:rPr>
        <w:t>且能驻场办公</w:t>
      </w:r>
      <w:r>
        <w:rPr>
          <w:rFonts w:hint="eastAsia" w:ascii="宋体" w:hAnsi="宋体" w:eastAsia="宋体" w:cs="宋体"/>
          <w:color w:val="auto"/>
          <w:kern w:val="0"/>
          <w:szCs w:val="21"/>
          <w:highlight w:val="none"/>
        </w:rPr>
        <w:t>。设计代表必须是本项目设计服务的主要参与者。设计代表应长驻深圳，按节点要求提交合格的成果资料，参加设计有关的会议、组织处理与设计有关的问题、参加相关工程验收。</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8.3乙方代表（项目负责人）姓名，联系方式：。</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8.4乙方原则上不得更换项目设计团队主要人员，确因下列情形之一不能继续履行职责需要更换的，除无法提前通知的情况外，应提前 7 天书面通知甲方，并征得甲方书面同意，甲方有权重新挑选人员：</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（1）因重病或者重伤（持有县、区以上医院证明）导致2个月以上不能履行职责的；</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（2）主动辞职或者调离原任职企业的；</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（3）因管理原因发生重大工程质量、生产安全事故的；</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（4）因违法被责令停止执业的；</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（5）因涉嫌犯罪被羁押或者被判处刑罚的；</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（6）死亡的；</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未经甲方书面同意，乙方更换项目设计团队主要人员的，应承担违约责任：</w:t>
      </w:r>
      <w:r>
        <w:rPr>
          <w:rFonts w:hint="eastAsia" w:ascii="宋体" w:hAnsi="宋体" w:eastAsia="宋体" w:cs="宋体"/>
          <w:color w:val="auto"/>
          <w:kern w:val="0"/>
          <w:szCs w:val="21"/>
          <w:highlight w:val="none"/>
          <w:u w:val="single"/>
        </w:rPr>
        <w:t>单次扣除违约金签约合同价的1%。</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8.5乙方无正当理由拒绝撤换甲方感到不满意的设计人员的，应承担违约责任为：</w:t>
      </w:r>
      <w:r>
        <w:rPr>
          <w:rFonts w:hint="eastAsia" w:ascii="宋体" w:hAnsi="宋体" w:eastAsia="宋体" w:cs="宋体"/>
          <w:color w:val="auto"/>
          <w:kern w:val="0"/>
          <w:szCs w:val="21"/>
          <w:highlight w:val="none"/>
          <w:u w:val="single"/>
        </w:rPr>
        <w:t>单次扣除违约金签约合同价的1%。</w:t>
      </w:r>
    </w:p>
    <w:bookmarkEnd w:id="10"/>
    <w:bookmarkEnd w:id="11"/>
    <w:bookmarkEnd w:id="12"/>
    <w:bookmarkEnd w:id="13"/>
    <w:p>
      <w:pPr>
        <w:numPr>
          <w:ilvl w:val="0"/>
          <w:numId w:val="1"/>
        </w:numPr>
        <w:adjustRightInd w:val="0"/>
        <w:snapToGrid w:val="0"/>
        <w:spacing w:line="360" w:lineRule="auto"/>
        <w:ind w:firstLine="422" w:firstLineChars="200"/>
        <w:jc w:val="left"/>
        <w:outlineLvl w:val="0"/>
        <w:rPr>
          <w:rFonts w:ascii="Times New Roman" w:hAnsi="Times New Roman" w:eastAsia="宋体" w:cs="Times New Roman"/>
          <w:b/>
          <w:bCs/>
          <w:color w:val="auto"/>
          <w:szCs w:val="20"/>
          <w:highlight w:val="none"/>
        </w:rPr>
      </w:pPr>
      <w:bookmarkStart w:id="14" w:name="_Toc214245331"/>
      <w:bookmarkStart w:id="15" w:name="_Toc410313458"/>
      <w:bookmarkStart w:id="16" w:name="_Toc277948882"/>
      <w:bookmarkStart w:id="17" w:name="_Toc387914439"/>
      <w:bookmarkStart w:id="18" w:name="_Toc214245351"/>
      <w:r>
        <w:rPr>
          <w:rFonts w:hint="eastAsia" w:ascii="宋体" w:hAnsi="宋体" w:eastAsia="宋体" w:cs="Times New Roman"/>
          <w:b/>
          <w:bCs/>
          <w:color w:val="auto"/>
          <w:szCs w:val="21"/>
          <w:highlight w:val="none"/>
        </w:rPr>
        <w:t>设计进度、质量、投资控制要求</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9.1乙方应根据合同规定的工期要求，严格按照进度计划和出图计划开展和组织设计工作，保证各阶段设计工作如期完成。</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9.2乙方应积极配合甲方委托的相关设计单位进行沟通、协调，相互提资、修改设计文件，乙方应积极配合甲方委托的相关单位进行定期检查，如会议、巡检、技术论证、设计文件审查等。</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9.3按照甲方建立的会议制度，乙方相关人员应参加设计例会、工程例会、技术研讨会、协调会、设计文件审查会等。</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9.4乙方应积极配合甲方对设计工作的全面检查，包括投资额、设计进度、设计深度与质量、人员到位和投入力量等，对存在的问题，应及时进行整改。</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9.5在设计过程中，乙方应及时向甲方提交各种方案、建议、拟采用的新技术、新工艺、新材料、新设备的有关技术文件，以便甲方对此进行审查，确保各种方案的可行性。</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9.6</w:t>
      </w:r>
      <w:r>
        <w:rPr>
          <w:rFonts w:hint="eastAsia" w:ascii="宋体" w:hAnsi="宋体"/>
          <w:bCs/>
          <w:color w:val="auto"/>
          <w:szCs w:val="21"/>
          <w:highlight w:val="none"/>
        </w:rPr>
        <w:t>乙方应遵循适用、经济、美观、安全的原则开展设计，在投资限额目标的基础上结合工程设计内容进一步分解投资，明确投资控制主要指标，在编制设计概算时逐步细化落实。</w:t>
      </w:r>
      <w:r>
        <w:rPr>
          <w:rFonts w:hint="eastAsia" w:ascii="宋体" w:hAnsi="宋体"/>
          <w:color w:val="auto"/>
          <w:szCs w:val="21"/>
          <w:highlight w:val="none"/>
        </w:rPr>
        <w:t>在保证设计质量的前提下，乙方应按设计限额进行设计，严格控制设计变更，确保施工图预算不突破</w:t>
      </w:r>
      <w:r>
        <w:rPr>
          <w:rFonts w:hint="eastAsia" w:ascii="宋体" w:hAnsi="宋体"/>
          <w:bCs/>
          <w:color w:val="auto"/>
          <w:szCs w:val="21"/>
          <w:highlight w:val="none"/>
        </w:rPr>
        <w:t>工程总投资匡算中建安费。</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9.7乙方应努力提高预算的准确性，认真分析可能影响造价的各种因素（如自然条件、施工材料损耗、加工费、运输费、措施费、施工条件等），准确选用定额、费用和合理的市场价格等各项编制依据，使预算能够完整地反映设计内容，合理地反映施工条件，准确地确定工程造价。</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9.8</w:t>
      </w:r>
      <w:r>
        <w:rPr>
          <w:rFonts w:hint="eastAsia" w:ascii="宋体" w:hAnsi="宋体"/>
          <w:bCs/>
          <w:color w:val="auto"/>
          <w:szCs w:val="21"/>
          <w:highlight w:val="none"/>
        </w:rPr>
        <w:t>乙方应严格按照《土地使用权出让合同书》《建设用地规划许可证》和《建设工程规划许可证》等有关规定，有关工程强制性标准，国家和广东省、深圳市技术规范、标准、规程及甲方提出的设计要求，进行工程设计，技术经济指标应当符合有关建筑技术经济指标计算规定，按合同规定的进度要求提交质量合格的设计资料，并对其负责。</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9.9本着提高办事效率的原则，对图纸绘制、表达形式及过程中沟通方式双方约定如下：</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9.9.1每次阶段性成果均以有比例图纸，邮件或传真形式同时发送甲方。如遇合同中未涉及之干扰本项目设计工作的问题，乙方应及早知会甲方，对未及时知会而造成延误工期的后果，由乙方承担；因甲方原因延误,则工作进度合理的时间顺延。</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9.9.2成果制作约定：为保证图纸成果的规范性、并能达到当地政府报建要求、及甲方对图纸的理解与后期图纸管理，现约定如下事宜：</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 CAD文件一律用AUTOCAD专业建筑绘图软件绘制，图形名称及层名应用中文分类设定；</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②总图绘制须在甲方提供之电子版“红线母图”上进行，不得移动、旋转、涂改母图的座标及母图其它有利建筑、道路定位的基础内容，总图绘图比例为“1个绘图单位＝1米”；</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建议使用“外部引用XREF”命令，便于多人绘图及后期合成管理；</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对不按此约定而造成的成果表达不清、不准确，甲方有权要求乙方返工；</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④所有图纸必须按比例绘制。</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9.9.3乙方设计成果有不满足上条要求的情况时（含附件），该成果性质为“不满足甲方要求”甲方有权要求乙方返工，由此引起的设计工期责任及其他责任由乙方承担。</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9.9.4乙方发送至甲方的设计图纸需有AUTOCAD及pdf两种版本，以保证甲方进行审核。</w:t>
      </w:r>
    </w:p>
    <w:p>
      <w:pPr>
        <w:pStyle w:val="1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9.10工程开工后，为配合施工，对甲方发出的指令，乙方应立即响应，对需要出设计变更的，乙方应在72小时内提供设计变更文件。所有阶段的设计进度必须符合工程建设总体进度要求，满足工程建设需要。</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9.11成本控制</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9.11.1设计人对本项目的设计应符合中国和广东省、深圳市相关设计规范、规定和标准，同时本着科学安全、经济合理的原则，负责编制完成本项目的分项和主要经济指标的初步投资总概算。</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9.11.2本项目的初步设计投资总概算在经发包人准后，发包人和设计人在施工图设计正式开始前，应对施工图的设计任务书进行造价评估（包括设计范围内的所有材料以及根据发包人认可的造价咨询单位的意见确定合理的主要造价控制指标等）。设计人应按发包人确认的投资总概算进行控制和限额设计，确保施工图预算（以发包人或委托的造价审核单位审核批准的施工图预算为准）不突破限额目标（由于发包人原因引起的预算增加情况除外）。如有超出上述成本控制范围的，设计人须对图纸进行合理的修改和调整，直至在技术和经济上达到发包人要求的标准（因物价上涨等非设计人原因除外），但不得影响设计进度和工程工期。如因此而引起的设计进度和工程工期延误，每延误一天，设计人应减收该阶段设计费的千分之二。</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9.12限额设计</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9.12.1本项目投资估算必须严格控制，制定本项目投资分解目标，实行以批准的初步设计概算及发包人要求为限额的限额设计。在保证设计质量的前提下，设计人应按限额进行设计，严格控制设计不突破限额目标。</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9.12.2设计人应遵循功能适用、标准合理、经济合理的原则开展设计，并在投资限额目标的基础上结合项目设计内容进一步分解投资，明确投资控制主要指标，在编制设计概算时逐步细化落实。</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9.12.3设计人必须加强经济观念，在所有方案比较的过程中，必须进行相应深度的投资估算比较，确保方案的可比性，并提供相应的工程数量表、主要材料表、主要设备清单等，分列各项指标供审查使用。</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9.12.4设计人在限额设计范围内应充分运用价值分析、多方案技术经济比较等技术手段，对设计方案进行优化，在确保工程质量的前提下，降低工程投资。</w:t>
      </w:r>
    </w:p>
    <w:p>
      <w:pPr>
        <w:adjustRightInd w:val="0"/>
        <w:snapToGrid w:val="0"/>
        <w:spacing w:line="360" w:lineRule="auto"/>
        <w:ind w:firstLine="422" w:firstLineChars="200"/>
        <w:outlineLvl w:val="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十、设计文件核查与审查</w:t>
      </w:r>
    </w:p>
    <w:p>
      <w:pPr>
        <w:keepNext/>
        <w:keepLines/>
        <w:adjustRightInd w:val="0"/>
        <w:snapToGrid w:val="0"/>
        <w:spacing w:line="360" w:lineRule="auto"/>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10.1设计文件核查</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10.1.1 乙方各阶段设计文件应报甲方核查同意，核查采用的标准应符合法律和技术标准。</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10.1.2 自甲方收到乙方的设计文件和乙方的通知之日起，甲方对设计文件核查期不超过15天。</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10.1.3 甲方核查且不同意设计文件的，应以书面形式通知乙方，并说明不符合合同约定的具体内容。乙方应根据甲方的书面说明，对设计文件进行修改后重新报送甲方核查，核查期重新起算。</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10.1.4 合同约定的核查期满，甲方没有做出核查结论也没有提出异议的，视为乙方的设计文件已获甲方同意。</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10.1.5 设计文件不需要政府有关部门（含施工图审查机构）审查或批准的，乙方应在符合法律和工程建设强制性标准的前提下，严格按照经甲方的核查意见进行修改。</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10.1.6 乙方自身需要召开核查会议对设计文件进行核查的，核查会议的核查形式和时间安排，应及时通知甲方。乙方负责组织该核查会议，并承担会议费用。</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10.1.7 乙方应按合同约定，及时向甲方提交设计成果文件，且有义务参加甲方组织的设计核查会议，向核查者介绍、阐释设计文件，并提供有关补充资料。</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10.1.8甲方有义务向乙方提供设计核查会议的批准文件和纪要。乙方有义务按照设计核查会议批准文件和纪要，并依据法律、技术标准和合同约定，对设计文件进行修改、补充和完善。</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10.1.9 因乙方自身原因，未能按合同约定时间向甲方提交设计成果文件，致使设计文件核查无法按期进行，从而造成设计周期延长、窝工损失及甲方增加费用的，乙方应</w:t>
      </w:r>
      <w:r>
        <w:rPr>
          <w:rFonts w:hint="eastAsia" w:ascii="宋体" w:hAnsi="宋体" w:eastAsia="宋体" w:cs="宋体"/>
          <w:color w:val="auto"/>
          <w:kern w:val="0"/>
          <w:szCs w:val="21"/>
          <w:highlight w:val="none"/>
        </w:rPr>
        <w:t>按第15.2条〔乙方违约责任〕的约定承担责任</w:t>
      </w:r>
      <w:r>
        <w:rPr>
          <w:rFonts w:hint="eastAsia" w:ascii="宋体" w:hAnsi="宋体" w:eastAsia="宋体" w:cs="宋体"/>
          <w:color w:val="auto"/>
          <w:szCs w:val="21"/>
          <w:highlight w:val="none"/>
        </w:rPr>
        <w:t>。</w:t>
      </w:r>
    </w:p>
    <w:p>
      <w:pPr>
        <w:keepNext/>
        <w:keepLines/>
        <w:adjustRightInd w:val="0"/>
        <w:snapToGrid w:val="0"/>
        <w:spacing w:line="360" w:lineRule="auto"/>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10.2设计文件审查</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10.2.1乙方各阶段的设计文件，对新工艺、新技术、新材料、新设备、绿色环保的运用，应报甲方确认，必要时乙方应组织有关专家论证。</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10.2.2甲方可委托有关咨询机构或组织由有关专家和技术人员组成的审图小组，对乙方完成的各阶段设计文件进行审查，乙方应积极配合。甲方及甲方委托的审查单位提出的书面意见，设计单位必须以书面结合修改截图予以回复。</w:t>
      </w:r>
    </w:p>
    <w:p>
      <w:pPr>
        <w:pStyle w:val="1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10.2.3乙方应配合甲方将设计文件报送建设、消防等主管部门审查，并按其审查意见修改完善。</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10.2.4设计文件需政府有关部门（含施工图审查机构）审查或批准的，甲方应在核查同意乙方的设计文件后，于</w:t>
      </w:r>
      <w:r>
        <w:rPr>
          <w:rFonts w:ascii="宋体" w:hAnsi="宋体" w:eastAsia="宋体" w:cs="宋体"/>
          <w:color w:val="auto"/>
          <w:szCs w:val="21"/>
          <w:highlight w:val="none"/>
          <w:u w:val="single"/>
        </w:rPr>
        <w:t>7</w:t>
      </w:r>
      <w:r>
        <w:rPr>
          <w:rFonts w:hint="eastAsia" w:ascii="宋体" w:hAnsi="宋体" w:eastAsia="宋体" w:cs="宋体"/>
          <w:color w:val="auto"/>
          <w:szCs w:val="21"/>
          <w:highlight w:val="none"/>
        </w:rPr>
        <w:t>天内，向政府有关部门（含施工图审查机构）报送设计文件.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10.2.5</w:t>
      </w:r>
      <w:r>
        <w:rPr>
          <w:rFonts w:hint="eastAsia" w:ascii="宋体" w:hAnsi="宋体" w:eastAsia="宋体" w:cs="宋体"/>
          <w:color w:val="auto"/>
          <w:kern w:val="0"/>
          <w:szCs w:val="21"/>
          <w:highlight w:val="none"/>
        </w:rPr>
        <w:t>因乙方原因造成设计文件不合格，并使之审查无法通过的，甲方有权要求乙方采取补救措施，直至达到合同要求的质量标准，并按第15.2条〔乙方违约责任〕的约定承担责任。</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10.2.6工程设计文件的审查，不减轻或免除乙方依据法律应承担的责任。</w:t>
      </w:r>
      <w:bookmarkEnd w:id="3"/>
    </w:p>
    <w:bookmarkEnd w:id="14"/>
    <w:bookmarkEnd w:id="15"/>
    <w:bookmarkEnd w:id="16"/>
    <w:bookmarkEnd w:id="17"/>
    <w:bookmarkEnd w:id="18"/>
    <w:p>
      <w:pPr>
        <w:numPr>
          <w:ilvl w:val="255"/>
          <w:numId w:val="0"/>
        </w:numPr>
        <w:adjustRightInd w:val="0"/>
        <w:snapToGrid w:val="0"/>
        <w:spacing w:line="360" w:lineRule="auto"/>
        <w:ind w:firstLine="422" w:firstLineChars="200"/>
        <w:jc w:val="left"/>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十一、合同价款及支付</w:t>
      </w:r>
    </w:p>
    <w:p>
      <w:pPr>
        <w:adjustRightInd w:val="0"/>
        <w:snapToGrid w:val="0"/>
        <w:spacing w:line="360" w:lineRule="auto"/>
        <w:ind w:firstLine="422" w:firstLineChars="200"/>
        <w:jc w:val="lef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11.1合同价格形式：</w:t>
      </w:r>
    </w:p>
    <w:p>
      <w:pPr>
        <w:adjustRightInd w:val="0"/>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 ]固定总价    [√]固定单价     [ ]固定费率  [ ]其它形式：</w:t>
      </w:r>
      <w:r>
        <w:rPr>
          <w:rFonts w:hint="eastAsia" w:ascii="宋体" w:hAnsi="宋体" w:eastAsia="宋体" w:cs="宋体"/>
          <w:color w:val="auto"/>
          <w:szCs w:val="21"/>
          <w:highlight w:val="none"/>
          <w:u w:val="single"/>
        </w:rPr>
        <w:t>暂定价</w:t>
      </w:r>
    </w:p>
    <w:p>
      <w:pPr>
        <w:adjustRightInd w:val="0"/>
        <w:snapToGrid w:val="0"/>
        <w:spacing w:line="360" w:lineRule="auto"/>
        <w:ind w:firstLine="422" w:firstLineChars="200"/>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11.2签约合同价</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合同暂定价为人民币（大写）</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（小写：￥），合同暂定价组成</w:t>
      </w:r>
      <w:r>
        <w:rPr>
          <w:rFonts w:hint="eastAsia" w:ascii="宋体" w:hAnsi="宋体" w:eastAsia="宋体" w:cs="宋体"/>
          <w:color w:val="auto"/>
          <w:szCs w:val="21"/>
          <w:highlight w:val="none"/>
        </w:rPr>
        <w:t>具体见下表。</w:t>
      </w:r>
    </w:p>
    <w:p>
      <w:pPr>
        <w:pStyle w:val="4"/>
        <w:adjustRightInd w:val="0"/>
        <w:snapToGrid w:val="0"/>
        <w:spacing w:after="0" w:line="360" w:lineRule="auto"/>
        <w:ind w:firstLine="420" w:firstLineChars="200"/>
        <w:rPr>
          <w:highlight w:val="none"/>
        </w:rPr>
      </w:pPr>
      <w:r>
        <w:rPr>
          <w:rFonts w:hint="eastAsia"/>
          <w:color w:val="auto"/>
          <w:highlight w:val="none"/>
        </w:rPr>
        <w:t>11.2.1</w:t>
      </w:r>
      <w:r>
        <w:rPr>
          <w:rFonts w:hint="eastAsia" w:ascii="宋体" w:hAnsi="宋体" w:cs="宋体"/>
          <w:color w:val="auto"/>
          <w:szCs w:val="21"/>
          <w:highlight w:val="none"/>
          <w:lang w:eastAsia="zh-CN"/>
        </w:rPr>
        <w:t>创意样板房</w:t>
      </w:r>
      <w:r>
        <w:rPr>
          <w:rFonts w:hint="eastAsia" w:ascii="宋体" w:hAnsi="宋体" w:cs="宋体"/>
          <w:color w:val="auto"/>
          <w:szCs w:val="21"/>
          <w:highlight w:val="none"/>
        </w:rPr>
        <w:t>设计</w:t>
      </w:r>
    </w:p>
    <w:tbl>
      <w:tblPr>
        <w:tblStyle w:val="7"/>
        <w:tblW w:w="9995" w:type="dxa"/>
        <w:jc w:val="center"/>
        <w:tblLayout w:type="fixed"/>
        <w:tblCellMar>
          <w:top w:w="0" w:type="dxa"/>
          <w:left w:w="108" w:type="dxa"/>
          <w:bottom w:w="0" w:type="dxa"/>
          <w:right w:w="108" w:type="dxa"/>
        </w:tblCellMar>
      </w:tblPr>
      <w:tblGrid>
        <w:gridCol w:w="361"/>
        <w:gridCol w:w="707"/>
        <w:gridCol w:w="1704"/>
        <w:gridCol w:w="2517"/>
        <w:gridCol w:w="1143"/>
        <w:gridCol w:w="985"/>
        <w:gridCol w:w="985"/>
        <w:gridCol w:w="891"/>
        <w:gridCol w:w="702"/>
      </w:tblGrid>
      <w:tr>
        <w:tblPrEx>
          <w:tblCellMar>
            <w:top w:w="0" w:type="dxa"/>
            <w:left w:w="108" w:type="dxa"/>
            <w:bottom w:w="0" w:type="dxa"/>
            <w:right w:w="108" w:type="dxa"/>
          </w:tblCellMar>
        </w:tblPrEx>
        <w:trPr>
          <w:trHeight w:val="90" w:hRule="atLeast"/>
          <w:jc w:val="center"/>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设计区域</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设计范围</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服务内容</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暂定设计面积（㎡）</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硬装设计</w:t>
            </w:r>
          </w:p>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含税单价（元/㎡）</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软装设计</w:t>
            </w:r>
          </w:p>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含税单价（元/㎡）</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设计费合计（元）</w:t>
            </w:r>
          </w:p>
        </w:tc>
        <w:tc>
          <w:tcPr>
            <w:tcW w:w="70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备注</w:t>
            </w:r>
          </w:p>
        </w:tc>
      </w:tr>
      <w:tr>
        <w:tblPrEx>
          <w:tblCellMar>
            <w:top w:w="0" w:type="dxa"/>
            <w:left w:w="108" w:type="dxa"/>
            <w:bottom w:w="0" w:type="dxa"/>
            <w:right w:w="108" w:type="dxa"/>
          </w:tblCellMar>
        </w:tblPrEx>
        <w:trPr>
          <w:trHeight w:val="90" w:hRule="atLeast"/>
          <w:jc w:val="center"/>
        </w:trPr>
        <w:tc>
          <w:tcPr>
            <w:tcW w:w="36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创意样板房</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10-03-2宗地76㎡竖厅户型（实体楼低区）</w:t>
            </w:r>
          </w:p>
        </w:tc>
        <w:tc>
          <w:tcPr>
            <w:tcW w:w="2517" w:type="dxa"/>
            <w:vMerge w:val="restart"/>
            <w:tcBorders>
              <w:top w:val="single" w:color="000000" w:sz="4" w:space="0"/>
              <w:left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硬装设计：包括但不限于创意样板间的概念设计(含平面布局、意向图、造价分析等)、方案设计(含造价估算)、设计概算、施工图设计(含物料书、材料样板、建筑、结构、装饰、强弱电、智能化、消防、给排水、暖通、灯光等专业的设计)、配合工程招标及施工、配合竣工图审核、与甲方委托的单位之间的沟通配合等工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lang w:bidi="ar"/>
              </w:rPr>
              <w:t>（2）软装设计：包括但不限于创意样板间的各类活动家私、家电、艺术灯具、活动地毯、床品及抱枕、织物、饰品及摆件、艺术品、绿植及花艺、雕塑挂画、窗帘等。设计阶段包括但不限于概念设计阶段、方案设计阶段(含软装方案设计、点位布置图、物料清单及估算、软装设计材料样板等)、配合软装工程招标、配合软装制作、采购、安装、验收阶段。</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bidi="ar"/>
              </w:rPr>
              <w:t xml:space="preserve">69.56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90" w:hRule="atLeast"/>
          <w:jc w:val="center"/>
        </w:trPr>
        <w:tc>
          <w:tcPr>
            <w:tcW w:w="36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c>
          <w:tcPr>
            <w:tcW w:w="70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10-03-2宗地138㎡竖厅户型（实体楼低区）</w:t>
            </w:r>
          </w:p>
        </w:tc>
        <w:tc>
          <w:tcPr>
            <w:tcW w:w="25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bidi="ar"/>
              </w:rPr>
              <w:t xml:space="preserve">132.92 </w:t>
            </w:r>
          </w:p>
        </w:tc>
        <w:tc>
          <w:tcPr>
            <w:tcW w:w="9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color w:val="auto"/>
                <w:sz w:val="18"/>
                <w:szCs w:val="18"/>
                <w:highlight w:val="none"/>
              </w:rPr>
            </w:pPr>
          </w:p>
        </w:tc>
        <w:tc>
          <w:tcPr>
            <w:tcW w:w="9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90" w:hRule="atLeast"/>
          <w:jc w:val="center"/>
        </w:trPr>
        <w:tc>
          <w:tcPr>
            <w:tcW w:w="36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lang w:val="en-US" w:eastAsia="zh-CN"/>
              </w:rPr>
            </w:pPr>
          </w:p>
        </w:tc>
        <w:tc>
          <w:tcPr>
            <w:tcW w:w="7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10-03-2宗地89㎡竖厅户型（实体楼低区）</w:t>
            </w:r>
          </w:p>
        </w:tc>
        <w:tc>
          <w:tcPr>
            <w:tcW w:w="25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bidi="ar"/>
              </w:rPr>
              <w:t xml:space="preserve">78.70 </w:t>
            </w:r>
          </w:p>
        </w:tc>
        <w:tc>
          <w:tcPr>
            <w:tcW w:w="9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color w:val="auto"/>
                <w:sz w:val="18"/>
                <w:szCs w:val="18"/>
                <w:highlight w:val="none"/>
              </w:rPr>
            </w:pPr>
          </w:p>
        </w:tc>
        <w:tc>
          <w:tcPr>
            <w:tcW w:w="9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90" w:hRule="atLeast"/>
          <w:jc w:val="center"/>
        </w:trPr>
        <w:tc>
          <w:tcPr>
            <w:tcW w:w="36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lang w:val="en-US" w:eastAsia="zh-CN"/>
              </w:rPr>
            </w:pPr>
          </w:p>
        </w:tc>
        <w:tc>
          <w:tcPr>
            <w:tcW w:w="7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10-03-2宗地98㎡横厅户型（实体楼低区）</w:t>
            </w:r>
          </w:p>
        </w:tc>
        <w:tc>
          <w:tcPr>
            <w:tcW w:w="25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bidi="ar"/>
              </w:rPr>
              <w:t xml:space="preserve">88.89 </w:t>
            </w:r>
          </w:p>
        </w:tc>
        <w:tc>
          <w:tcPr>
            <w:tcW w:w="9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color w:val="auto"/>
                <w:sz w:val="18"/>
                <w:szCs w:val="18"/>
                <w:highlight w:val="none"/>
              </w:rPr>
            </w:pPr>
          </w:p>
        </w:tc>
        <w:tc>
          <w:tcPr>
            <w:tcW w:w="9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90" w:hRule="atLeast"/>
          <w:jc w:val="center"/>
        </w:trPr>
        <w:tc>
          <w:tcPr>
            <w:tcW w:w="36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lang w:val="en-US" w:eastAsia="zh-CN"/>
              </w:rPr>
            </w:pPr>
          </w:p>
        </w:tc>
        <w:tc>
          <w:tcPr>
            <w:tcW w:w="7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10-03-2宗地116㎡横厅户型（实体楼低区）</w:t>
            </w:r>
          </w:p>
        </w:tc>
        <w:tc>
          <w:tcPr>
            <w:tcW w:w="25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109.52 </w:t>
            </w:r>
          </w:p>
        </w:tc>
        <w:tc>
          <w:tcPr>
            <w:tcW w:w="9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color w:val="auto"/>
                <w:sz w:val="18"/>
                <w:szCs w:val="18"/>
                <w:highlight w:val="none"/>
              </w:rPr>
            </w:pPr>
          </w:p>
        </w:tc>
        <w:tc>
          <w:tcPr>
            <w:tcW w:w="9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90" w:hRule="atLeast"/>
          <w:jc w:val="center"/>
        </w:trPr>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合计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479.59</w:t>
            </w:r>
          </w:p>
        </w:tc>
        <w:tc>
          <w:tcPr>
            <w:tcW w:w="3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r>
    </w:tbl>
    <w:p>
      <w:pPr>
        <w:spacing w:line="360" w:lineRule="auto"/>
        <w:ind w:firstLine="422" w:firstLineChars="200"/>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11.3设计费的计取支付</w:t>
      </w:r>
    </w:p>
    <w:p>
      <w:pPr>
        <w:spacing w:line="360" w:lineRule="auto"/>
        <w:ind w:firstLine="420" w:firstLineChars="200"/>
        <w:rPr>
          <w:rFonts w:hint="default" w:ascii="宋体" w:hAnsi="宋体" w:eastAsia="宋体" w:cs="宋体"/>
          <w:bCs/>
          <w:color w:val="auto"/>
          <w:kern w:val="0"/>
          <w:szCs w:val="21"/>
          <w:highlight w:val="none"/>
          <w:u w:val="single"/>
          <w:lang w:val="en-US" w:eastAsia="zh-CN"/>
        </w:rPr>
      </w:pPr>
      <w:r>
        <w:rPr>
          <w:rFonts w:hint="eastAsia" w:ascii="宋体" w:hAnsi="宋体" w:eastAsia="宋体" w:cs="Times New Roman"/>
          <w:color w:val="auto"/>
          <w:szCs w:val="21"/>
          <w:highlight w:val="none"/>
        </w:rPr>
        <w:t>11.3.1本项目为固定单价合同，</w:t>
      </w:r>
      <w:r>
        <w:rPr>
          <w:rFonts w:hint="eastAsia" w:ascii="宋体" w:hAnsi="宋体" w:eastAsia="宋体" w:cs="宋体"/>
          <w:b/>
          <w:color w:val="auto"/>
          <w:szCs w:val="21"/>
          <w:highlight w:val="none"/>
        </w:rPr>
        <w:t>选址、面积、功能为暂定，最终以实际设计要求为准</w:t>
      </w:r>
      <w:r>
        <w:rPr>
          <w:rFonts w:hint="eastAsia" w:ascii="宋体" w:hAnsi="宋体" w:eastAsia="宋体" w:cs="宋体"/>
          <w:color w:val="auto"/>
          <w:szCs w:val="24"/>
          <w:highlight w:val="none"/>
        </w:rPr>
        <w:t>。</w:t>
      </w:r>
      <w:r>
        <w:rPr>
          <w:rFonts w:hint="eastAsia" w:ascii="宋体" w:hAnsi="宋体" w:eastAsia="宋体" w:cs="宋体"/>
          <w:bCs/>
          <w:color w:val="auto"/>
          <w:szCs w:val="21"/>
          <w:highlight w:val="none"/>
          <w:lang w:eastAsia="zh-CN"/>
        </w:rPr>
        <w:t>创意样板房</w:t>
      </w:r>
      <w:r>
        <w:rPr>
          <w:rFonts w:hint="eastAsia" w:ascii="宋体" w:hAnsi="宋体" w:eastAsia="宋体" w:cs="Times New Roman"/>
          <w:bCs/>
          <w:color w:val="auto"/>
          <w:szCs w:val="21"/>
          <w:highlight w:val="none"/>
        </w:rPr>
        <w:t>实际精装修设计面积以经甲方确认的终版施工图（含经甲方确认的设计变更）量度为准</w:t>
      </w:r>
      <w:r>
        <w:rPr>
          <w:rFonts w:hint="eastAsia" w:ascii="宋体" w:hAnsi="宋体" w:eastAsia="宋体" w:cs="Times New Roman"/>
          <w:bCs/>
          <w:color w:val="auto"/>
          <w:szCs w:val="21"/>
          <w:highlight w:val="none"/>
          <w:lang w:eastAsia="zh-CN"/>
        </w:rPr>
        <w:t>，</w:t>
      </w:r>
      <w:r>
        <w:rPr>
          <w:rFonts w:hint="eastAsia" w:ascii="宋体" w:hAnsi="宋体" w:eastAsia="宋体" w:cs="Times New Roman"/>
          <w:color w:val="auto"/>
          <w:szCs w:val="21"/>
          <w:highlight w:val="none"/>
        </w:rPr>
        <w:t>结算价=以本项目核准的设计面积×</w:t>
      </w:r>
      <w:r>
        <w:rPr>
          <w:rFonts w:hint="eastAsia" w:ascii="宋体" w:hAnsi="宋体" w:eastAsia="宋体" w:cs="Times New Roman"/>
          <w:color w:val="auto"/>
          <w:szCs w:val="21"/>
          <w:highlight w:val="none"/>
          <w:lang w:val="en-US" w:eastAsia="zh-CN"/>
        </w:rPr>
        <w:t>相应</w:t>
      </w:r>
      <w:r>
        <w:rPr>
          <w:rFonts w:hint="eastAsia" w:ascii="宋体" w:hAnsi="宋体" w:eastAsia="宋体" w:cs="Times New Roman"/>
          <w:color w:val="auto"/>
          <w:szCs w:val="21"/>
          <w:highlight w:val="none"/>
        </w:rPr>
        <w:t>合同单价。最终结算价须结合履约评价确定，并以甲方委托第三方机构审定并经甲方确认的结果为准，项目按规定须提交深圳市龙华区财政评审中心评审的，则最终结算价以深圳市龙华区财政评审中心评审结论为准（若项目按规定须提交政府审计部门审计的，则最终结算价以政府审计部门审计结果为准）。</w:t>
      </w:r>
      <w:r>
        <w:rPr>
          <w:rFonts w:hint="eastAsia" w:ascii="宋体" w:hAnsi="宋体" w:eastAsia="宋体" w:cs="Times New Roman"/>
          <w:color w:val="auto"/>
          <w:szCs w:val="21"/>
          <w:highlight w:val="none"/>
          <w:lang w:val="en-US" w:eastAsia="zh-CN"/>
        </w:rPr>
        <w:t>最终结算价不超过投标上限价（95.918万元）。</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11.3.2合同价包含乙方履行本合同项下义务的全部含税费用，包括完成设计任务书中所列的全部工作及内容。本项目设计费用包括由乙方为完成本项目所规定的工作内容及职责和义务所发生的全部费用, 包括但不限于设计费、咨询费、所有乙方员工工资和福利、每个设计阶段的现场汇报和出差到现场指导配合费用、现场办公费用、劳务费、技术服务费、保险、现场生活条件、交通差旅费、办公设施和设备、通讯设备、管理费、利润、税费、版权、专利使用费、各种考察的费用、图纸制作费、打印图纸费、复印费、效果图模型材料和制作费、幻灯片制作费、摄影费、选样差旅费以及其它费用和开支。</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11.3.3</w:t>
      </w:r>
      <w:r>
        <w:rPr>
          <w:rFonts w:hint="eastAsia" w:ascii="宋体" w:hAnsi="宋体" w:eastAsia="宋体" w:cs="宋体"/>
          <w:color w:val="auto"/>
          <w:szCs w:val="21"/>
          <w:highlight w:val="none"/>
        </w:rPr>
        <w:t>设计范围要求的所有内容，</w:t>
      </w:r>
      <w:r>
        <w:rPr>
          <w:rFonts w:ascii="宋体" w:hAnsi="宋体" w:eastAsia="宋体" w:cs="宋体"/>
          <w:color w:val="auto"/>
          <w:szCs w:val="21"/>
          <w:highlight w:val="none"/>
        </w:rPr>
        <w:t>已包含在合同计取的设计费中，甲方不再另行支付。</w:t>
      </w:r>
      <w:r>
        <w:rPr>
          <w:rFonts w:hint="eastAsia" w:ascii="宋体" w:hAnsi="宋体" w:eastAsia="宋体" w:cs="宋体"/>
          <w:color w:val="auto"/>
          <w:kern w:val="0"/>
          <w:szCs w:val="21"/>
          <w:highlight w:val="none"/>
        </w:rPr>
        <w:t>合同范围内的设计费包含因各种原因而造成的增补缺漏项及变更的设计费用以及因设计深化或为获得政府主管部门审查批准而出现的反复修改工作费用。</w:t>
      </w:r>
      <w:r>
        <w:rPr>
          <w:rFonts w:hint="eastAsia" w:ascii="宋体" w:hAnsi="宋体" w:eastAsia="宋体" w:cs="宋体"/>
          <w:color w:val="auto"/>
          <w:szCs w:val="21"/>
          <w:highlight w:val="none"/>
        </w:rPr>
        <w:t>因规划选址调整、规划指标调整、建设功能需求方案调整</w:t>
      </w:r>
      <w:r>
        <w:rPr>
          <w:rFonts w:ascii="宋体" w:hAnsi="宋体" w:eastAsia="宋体" w:cs="宋体"/>
          <w:color w:val="auto"/>
          <w:szCs w:val="21"/>
          <w:highlight w:val="none"/>
        </w:rPr>
        <w:t>、</w:t>
      </w:r>
      <w:r>
        <w:rPr>
          <w:rFonts w:hint="eastAsia" w:ascii="宋体" w:hAnsi="宋体" w:eastAsia="宋体" w:cs="宋体"/>
          <w:color w:val="auto"/>
          <w:szCs w:val="21"/>
          <w:highlight w:val="none"/>
        </w:rPr>
        <w:t>甲方</w:t>
      </w:r>
      <w:r>
        <w:rPr>
          <w:rFonts w:ascii="宋体" w:hAnsi="宋体" w:eastAsia="宋体" w:cs="宋体"/>
          <w:color w:val="auto"/>
          <w:szCs w:val="21"/>
          <w:highlight w:val="none"/>
        </w:rPr>
        <w:t>（</w:t>
      </w:r>
      <w:r>
        <w:rPr>
          <w:rFonts w:hint="eastAsia" w:ascii="宋体" w:hAnsi="宋体" w:eastAsia="宋体" w:cs="宋体"/>
          <w:color w:val="auto"/>
          <w:szCs w:val="21"/>
          <w:highlight w:val="none"/>
        </w:rPr>
        <w:t>或政府</w:t>
      </w:r>
      <w:r>
        <w:rPr>
          <w:rFonts w:ascii="宋体" w:hAnsi="宋体" w:eastAsia="宋体" w:cs="宋体"/>
          <w:color w:val="auto"/>
          <w:szCs w:val="21"/>
          <w:highlight w:val="none"/>
        </w:rPr>
        <w:t>）</w:t>
      </w:r>
      <w:r>
        <w:rPr>
          <w:rFonts w:hint="eastAsia" w:ascii="宋体" w:hAnsi="宋体" w:eastAsia="宋体" w:cs="宋体"/>
          <w:color w:val="auto"/>
          <w:szCs w:val="21"/>
          <w:highlight w:val="none"/>
        </w:rPr>
        <w:t>要求变化或其他原因造成乙方重复设计工作的</w:t>
      </w:r>
      <w:r>
        <w:rPr>
          <w:rFonts w:ascii="宋体" w:hAnsi="宋体" w:eastAsia="宋体" w:cs="宋体"/>
          <w:color w:val="auto"/>
          <w:szCs w:val="21"/>
          <w:highlight w:val="none"/>
        </w:rPr>
        <w:t>,该工作视为已包含在合同价中</w:t>
      </w:r>
      <w:r>
        <w:rPr>
          <w:rFonts w:hint="eastAsia" w:ascii="宋体" w:hAnsi="宋体" w:eastAsia="宋体" w:cs="宋体"/>
          <w:color w:val="auto"/>
          <w:kern w:val="0"/>
          <w:szCs w:val="21"/>
          <w:highlight w:val="none"/>
        </w:rPr>
        <w:t>。除双方协商一致、另签补充合同外，甲方不接受乙方以任何理由、任何名目提出增加设计费的要求。</w:t>
      </w:r>
    </w:p>
    <w:p>
      <w:pPr>
        <w:spacing w:line="360" w:lineRule="auto"/>
        <w:ind w:firstLine="420" w:firstLineChars="200"/>
        <w:rPr>
          <w:rFonts w:ascii="宋体" w:hAnsi="宋体" w:eastAsia="宋体" w:cs="Times New Roman"/>
          <w:b/>
          <w:color w:val="auto"/>
          <w:szCs w:val="21"/>
          <w:highlight w:val="none"/>
        </w:rPr>
      </w:pPr>
      <w:r>
        <w:rPr>
          <w:rFonts w:hint="eastAsia" w:ascii="宋体" w:hAnsi="宋体" w:eastAsia="宋体" w:cs="宋体"/>
          <w:color w:val="auto"/>
          <w:szCs w:val="21"/>
          <w:highlight w:val="none"/>
        </w:rPr>
        <w:t>11.3.4若因政策因素或不可抗力等因素导致项目被取消，则设计费按照乙方实际完成的并经甲方书面确认的相应设计阶段的工作量计算，如以下其中一阶段的工作已全部完成并经过甲方书面确认，则此部分清算金额按照付款比例100%支付，如以下其中阶段的工作未全部完成，则甲乙双方另行协商支付，除此之外不再支付任何费用。如任一设计阶段工作未实际发生，则甲方无须支付此阶段费用。</w:t>
      </w:r>
    </w:p>
    <w:p>
      <w:pPr>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11.3.5</w:t>
      </w:r>
      <w:r>
        <w:rPr>
          <w:rFonts w:ascii="宋体" w:hAnsi="宋体" w:eastAsia="宋体" w:cs="Times New Roman"/>
          <w:color w:val="auto"/>
          <w:szCs w:val="21"/>
          <w:highlight w:val="none"/>
        </w:rPr>
        <w:t>付款</w:t>
      </w:r>
      <w:r>
        <w:rPr>
          <w:rFonts w:hint="eastAsia" w:ascii="宋体" w:hAnsi="宋体" w:eastAsia="宋体" w:cs="Times New Roman"/>
          <w:color w:val="auto"/>
          <w:szCs w:val="21"/>
          <w:highlight w:val="none"/>
        </w:rPr>
        <w:t>节点</w:t>
      </w:r>
      <w:r>
        <w:rPr>
          <w:rFonts w:ascii="宋体" w:hAnsi="宋体" w:eastAsia="宋体" w:cs="Times New Roman"/>
          <w:color w:val="auto"/>
          <w:szCs w:val="21"/>
          <w:highlight w:val="none"/>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82"/>
        <w:gridCol w:w="3778"/>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4" w:type="dxa"/>
            <w:noWrap w:val="0"/>
            <w:vAlign w:val="center"/>
          </w:tcPr>
          <w:p>
            <w:pPr>
              <w:adjustRightInd w:val="0"/>
              <w:snapToGrid w:val="0"/>
              <w:rPr>
                <w:rFonts w:hint="eastAsia" w:ascii="宋体" w:hAnsi="宋体" w:eastAsia="宋体" w:cs="宋体"/>
                <w:kern w:val="2"/>
                <w:sz w:val="24"/>
                <w:szCs w:val="24"/>
                <w:highlight w:val="none"/>
                <w:lang w:val="en-US" w:eastAsia="zh-CN" w:bidi="ar-SA"/>
              </w:rPr>
            </w:pPr>
            <w:r>
              <w:rPr>
                <w:rFonts w:ascii="宋体" w:hAnsi="宋体" w:eastAsia="宋体" w:cs="Times New Roman"/>
                <w:szCs w:val="21"/>
                <w:highlight w:val="none"/>
              </w:rPr>
              <w:t>序号</w:t>
            </w:r>
          </w:p>
        </w:tc>
        <w:tc>
          <w:tcPr>
            <w:tcW w:w="1482"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Times New Roman"/>
                <w:szCs w:val="21"/>
                <w:highlight w:val="none"/>
              </w:rPr>
              <w:t>阶段</w:t>
            </w:r>
          </w:p>
        </w:tc>
        <w:tc>
          <w:tcPr>
            <w:tcW w:w="3778"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Times New Roman"/>
                <w:szCs w:val="21"/>
                <w:highlight w:val="none"/>
              </w:rPr>
              <w:t>付款时间</w:t>
            </w:r>
          </w:p>
        </w:tc>
        <w:tc>
          <w:tcPr>
            <w:tcW w:w="2123"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ascii="宋体" w:hAnsi="宋体" w:eastAsia="宋体" w:cs="Times New Roman"/>
                <w:szCs w:val="21"/>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4"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Times New Roman"/>
                <w:szCs w:val="21"/>
                <w:highlight w:val="none"/>
              </w:rPr>
              <w:t>1</w:t>
            </w:r>
          </w:p>
        </w:tc>
        <w:tc>
          <w:tcPr>
            <w:tcW w:w="1482"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概念设计阶段</w:t>
            </w:r>
          </w:p>
        </w:tc>
        <w:tc>
          <w:tcPr>
            <w:tcW w:w="3778"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完成概念设计阶段的设计工作，并提交完整的软装、硬装概念方案设计成果并经甲方书面确认合格后</w:t>
            </w:r>
          </w:p>
        </w:tc>
        <w:tc>
          <w:tcPr>
            <w:tcW w:w="2123"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合同价款15%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34"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Times New Roman"/>
                <w:szCs w:val="21"/>
                <w:highlight w:val="none"/>
              </w:rPr>
              <w:t>2</w:t>
            </w:r>
          </w:p>
        </w:tc>
        <w:tc>
          <w:tcPr>
            <w:tcW w:w="1482"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方案设计阶段</w:t>
            </w:r>
          </w:p>
        </w:tc>
        <w:tc>
          <w:tcPr>
            <w:tcW w:w="3778"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完成方案设计阶段的设计工作，并提交完整的软装、硬装方案设计成果（含造价估算文件）经甲方书面确认合格后</w:t>
            </w:r>
          </w:p>
        </w:tc>
        <w:tc>
          <w:tcPr>
            <w:tcW w:w="2123"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合同价款25%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4"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Times New Roman"/>
                <w:szCs w:val="21"/>
                <w:highlight w:val="none"/>
              </w:rPr>
              <w:t>3</w:t>
            </w:r>
          </w:p>
        </w:tc>
        <w:tc>
          <w:tcPr>
            <w:tcW w:w="1482"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施工图设计阶段</w:t>
            </w:r>
          </w:p>
        </w:tc>
        <w:tc>
          <w:tcPr>
            <w:tcW w:w="3778"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完成施工图设计阶段的设计工作，并提交完整的软装、硬装施工图设计成果并经甲方书面确认合格后</w:t>
            </w:r>
          </w:p>
        </w:tc>
        <w:tc>
          <w:tcPr>
            <w:tcW w:w="2123"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合同价款35%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34"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Times New Roman"/>
                <w:szCs w:val="21"/>
                <w:highlight w:val="none"/>
              </w:rPr>
              <w:t>4</w:t>
            </w:r>
          </w:p>
        </w:tc>
        <w:tc>
          <w:tcPr>
            <w:tcW w:w="1482"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施工配合阶段</w:t>
            </w:r>
          </w:p>
        </w:tc>
        <w:tc>
          <w:tcPr>
            <w:tcW w:w="3778"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完成软装、硬装工程施工配合并通过工程验收合格并经甲方书面确认合格后</w:t>
            </w:r>
          </w:p>
        </w:tc>
        <w:tc>
          <w:tcPr>
            <w:tcW w:w="2123"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合同价款</w:t>
            </w:r>
            <w:r>
              <w:rPr>
                <w:rFonts w:hint="eastAsia" w:ascii="宋体" w:hAnsi="宋体" w:eastAsia="宋体"/>
                <w:highlight w:val="none"/>
                <w:lang w:val="en-US" w:eastAsia="zh-CN"/>
              </w:rPr>
              <w:t>15</w:t>
            </w:r>
            <w:r>
              <w:rPr>
                <w:rFonts w:hint="eastAsia" w:ascii="宋体" w:hAnsi="宋体" w:eastAsia="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Times New Roman"/>
                <w:szCs w:val="21"/>
                <w:highlight w:val="none"/>
              </w:rPr>
              <w:t>5</w:t>
            </w:r>
          </w:p>
        </w:tc>
        <w:tc>
          <w:tcPr>
            <w:tcW w:w="1482"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竣工验收配合、竣工图配合、竣工结算</w:t>
            </w:r>
          </w:p>
        </w:tc>
        <w:tc>
          <w:tcPr>
            <w:tcW w:w="3778" w:type="dxa"/>
            <w:noWrap w:val="0"/>
            <w:vAlign w:val="center"/>
          </w:tcPr>
          <w:p>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完成竣工验收配合及竣工图配合，工程竣工验收合格后，配合完成本合同竣工结算，支付至结算价的100%</w:t>
            </w:r>
          </w:p>
        </w:tc>
        <w:tc>
          <w:tcPr>
            <w:tcW w:w="2123" w:type="dxa"/>
            <w:noWrap w:val="0"/>
            <w:vAlign w:val="center"/>
          </w:tcPr>
          <w:p>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highlight w:val="none"/>
              </w:rPr>
              <w:t>余款</w:t>
            </w:r>
          </w:p>
        </w:tc>
      </w:tr>
    </w:tbl>
    <w:p>
      <w:pPr>
        <w:adjustRightInd w:val="0"/>
        <w:snapToGrid w:val="0"/>
        <w:spacing w:line="360" w:lineRule="auto"/>
        <w:ind w:firstLine="420" w:firstLineChars="200"/>
        <w:rPr>
          <w:rFonts w:ascii="宋体" w:hAnsi="宋体" w:eastAsia="宋体" w:cs="Times New Roman"/>
          <w:color w:val="auto"/>
          <w:spacing w:val="8"/>
          <w:szCs w:val="21"/>
          <w:highlight w:val="none"/>
        </w:rPr>
      </w:pPr>
      <w:r>
        <w:rPr>
          <w:rFonts w:hint="eastAsia" w:ascii="宋体" w:hAnsi="宋体" w:eastAsia="宋体" w:cs="宋体"/>
          <w:color w:val="auto"/>
          <w:szCs w:val="21"/>
          <w:highlight w:val="none"/>
        </w:rPr>
        <w:t>11.3.5进度款按照公司履约评价及合同罚款进行扣款。</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11.3.6每次付款前，应由乙方提交该阶段的付款申请，并且提交支付等额的合格增值税专用发票。甲方收到乙方开具的等额增值税专用发票并通过审核后，合同款项的支付按照甲方支付程序支付。</w:t>
      </w:r>
      <w:r>
        <w:rPr>
          <w:rFonts w:hint="eastAsia" w:ascii="宋体" w:hAnsi="宋体" w:eastAsia="宋体" w:cs="Times New Roman"/>
          <w:color w:val="auto"/>
          <w:spacing w:val="8"/>
          <w:szCs w:val="21"/>
          <w:highlight w:val="none"/>
        </w:rPr>
        <w:t>如乙方未按上述约定向甲方提交符合要求的</w:t>
      </w:r>
      <w:r>
        <w:rPr>
          <w:rFonts w:ascii="宋体" w:hAnsi="宋体" w:eastAsia="宋体" w:cs="Times New Roman"/>
          <w:color w:val="auto"/>
          <w:szCs w:val="21"/>
          <w:highlight w:val="none"/>
        </w:rPr>
        <w:t>付款申请书及相应金额的</w:t>
      </w:r>
      <w:r>
        <w:rPr>
          <w:rFonts w:hint="eastAsia" w:ascii="宋体" w:hAnsi="宋体" w:eastAsia="宋体" w:cs="Times New Roman"/>
          <w:color w:val="auto"/>
          <w:spacing w:val="8"/>
          <w:szCs w:val="21"/>
          <w:highlight w:val="none"/>
        </w:rPr>
        <w:t>合法有效增值税专用发票，甲方有权暂缓支付，乙方自行承担责任。因乙方违反本合同所发生的违约金，甲方有权在当期合同款中扣除。</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11.3.7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向乙方支付进度款时，因票据贴现产生的利息，由乙方承担。乙方开户银行、账号等如有变更，应在当期进度款申请时同步以书面方式通知甲方。如乙方未按合同约定及时通知甲方，由此导致的不利后果及损失均由乙方承担，给甲方造成经济损失的需予以赔偿。</w:t>
      </w:r>
    </w:p>
    <w:p>
      <w:pPr>
        <w:adjustRightInd w:val="0"/>
        <w:snapToGrid w:val="0"/>
        <w:spacing w:line="360" w:lineRule="auto"/>
        <w:ind w:firstLine="422" w:firstLineChars="200"/>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11.4设计费的调整</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11.4.1因法律、行政法规、国家法令、地方政府的政策规章发生变化导致乙方工作量的增加或服务费用增加，在合同期内服务费用将不予调整，合同另有约定除外。</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11.4.2由于物价上涨或通货膨胀等非归因于甲方原因的因素而引起乙方费用的增加，乙方须自行承担，不得要求甲方另行支付的增加费用。</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11.4.3乙方应配合政府主管部门的审批或批复备案工作和甲方组织的相关评审工作，且须对政府主管部门或评审专家提出疑问进行书面答复，并积极地根据相关意见进行调整、补充和完善。乙方应勤勉尽责完成上述相关工作，保证工作或服务成果满足协议要求和甲方的目的。因乙方修改不能达到甲方及甲方委托的审图单位或政府部门要求，乙方不得以多次修改完善成果作为理由提出增加任何费用及反复修改导致的打印图纸费用。</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11.4.4在合同期内，若深圳市出台建设工程三维审批规划管理相关措施，乙方需确保设计成果文件符合报建相应技术要求，且应配合项目施工图成果获得报批通过。由此增加的工作内容，不予另行增加费用。</w:t>
      </w:r>
    </w:p>
    <w:p>
      <w:pPr>
        <w:adjustRightInd w:val="0"/>
        <w:snapToGri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11.4.5乙方提交的变更（修改）费用过高，甲方不能接受时,甲方有权另行委托设计。由于变更（修改）而造成合同无法执行时，双方同意按已完成设计阶段（工作量）办理结算，并终止合同。</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11.4.6因乙方设计修改而增加的工作量( 含因相关规范、规定出现新的版本而产生的修改及政府相关主管部门对设计成果提出的修改要求产生的工作量等), 甲方无需对乙方做出任何补偿。</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11.4.7因乙方打印的图纸不满足甲方要求而导致的打印图纸费用，乙方须自行承担，不得要求甲方另行支付的增加费用。</w:t>
      </w:r>
    </w:p>
    <w:p>
      <w:pPr>
        <w:adjustRightInd w:val="0"/>
        <w:snapToGrid w:val="0"/>
        <w:spacing w:line="360" w:lineRule="auto"/>
        <w:ind w:firstLine="422" w:firstLineChars="200"/>
        <w:outlineLvl w:val="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十二、设计变更</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12.1工程建设过程中，不论何种原因引起设计变更，均应以书面方式告知合同当事人另一方，明确设计变更的起因、种类、责任认定以及设计周期和设计费用的建议处理原则。</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12.2 甲方主动提出的设计变更，应以书面方式向乙方提供；乙方在不违反法律和工程建设强制性标准的前提下，并与甲方</w:t>
      </w:r>
      <w:r>
        <w:rPr>
          <w:rFonts w:hint="eastAsia" w:ascii="宋体" w:hAnsi="宋体" w:eastAsia="宋体" w:cs="宋体"/>
          <w:bCs/>
          <w:color w:val="auto"/>
          <w:szCs w:val="21"/>
          <w:highlight w:val="none"/>
        </w:rPr>
        <w:t>协商解决重大变更的设计周期和设计费用的处理原则后，</w:t>
      </w:r>
      <w:r>
        <w:rPr>
          <w:rFonts w:hint="eastAsia" w:ascii="宋体" w:hAnsi="宋体" w:eastAsia="宋体" w:cs="宋体"/>
          <w:bCs/>
          <w:color w:val="auto"/>
          <w:kern w:val="0"/>
          <w:szCs w:val="21"/>
          <w:highlight w:val="none"/>
        </w:rPr>
        <w:t>应按照甲方要求变更设计。</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12.3项目设计各相应阶段获得甲方批准后，甲方如提出需要乙方对项目各相应阶段设计方面（含对后期阶段的设计依据）的相关变更，乙方在不违反有关技术规范的前提下，应采取积极的修改措施，并在甲方要求合理的时间内完成相关工作，满足甲方的要求。</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12.4因乙方自身的设计缺陷引起的工程变更，乙方应无条件负责优化完善设计文件，直至合格达标。</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12.5因</w:t>
      </w:r>
      <w:r>
        <w:rPr>
          <w:rFonts w:hint="eastAsia" w:ascii="宋体" w:hAnsi="宋体" w:eastAsia="宋体" w:cs="宋体"/>
          <w:bCs/>
          <w:color w:val="auto"/>
          <w:kern w:val="0"/>
          <w:szCs w:val="21"/>
          <w:highlight w:val="none"/>
        </w:rPr>
        <w:t>有工程建设法律和技术标准颁布或修改，或因</w:t>
      </w:r>
      <w:r>
        <w:rPr>
          <w:rFonts w:hint="eastAsia" w:ascii="宋体" w:hAnsi="宋体" w:eastAsia="宋体" w:cs="宋体"/>
          <w:bCs/>
          <w:color w:val="auto"/>
          <w:szCs w:val="21"/>
          <w:highlight w:val="none"/>
        </w:rPr>
        <w:t>合同当事人之外第三方引起的工程变更，乙方应积极配合，及时修改完善设计文件。</w:t>
      </w:r>
    </w:p>
    <w:p>
      <w:pPr>
        <w:adjustRightInd w:val="0"/>
        <w:snapToGrid w:val="0"/>
        <w:spacing w:line="360" w:lineRule="auto"/>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szCs w:val="21"/>
          <w:highlight w:val="none"/>
        </w:rPr>
        <w:t>12.6因设计缺陷引起设计变更而导致的设计费用增加或设计周期延长，由乙方单方承担。若此设计变更造成工程投资增加，甲方可视实际情况，向引起变更的责任单位索赔。</w:t>
      </w:r>
    </w:p>
    <w:p>
      <w:pPr>
        <w:widowControl/>
        <w:numPr>
          <w:ilvl w:val="255"/>
          <w:numId w:val="0"/>
        </w:numPr>
        <w:adjustRightInd w:val="0"/>
        <w:snapToGrid w:val="0"/>
        <w:spacing w:line="360" w:lineRule="auto"/>
        <w:ind w:firstLine="422" w:firstLineChars="200"/>
        <w:jc w:val="left"/>
        <w:outlineLvl w:val="0"/>
        <w:rPr>
          <w:rFonts w:ascii="宋体" w:hAnsi="宋体" w:eastAsia="宋体" w:cs="宋体"/>
          <w:b/>
          <w:bCs/>
          <w:color w:val="auto"/>
          <w:kern w:val="0"/>
          <w:szCs w:val="21"/>
          <w:highlight w:val="none"/>
        </w:rPr>
      </w:pPr>
      <w:bookmarkStart w:id="19" w:name="_Toc311469730"/>
      <w:bookmarkStart w:id="20" w:name="_Toc277948886"/>
      <w:bookmarkStart w:id="21" w:name="_Toc311450524"/>
      <w:bookmarkStart w:id="22" w:name="_Toc214245355"/>
      <w:bookmarkStart w:id="23" w:name="_Toc312912872"/>
      <w:bookmarkStart w:id="24" w:name="_Toc387914281"/>
      <w:bookmarkStart w:id="25" w:name="_Toc387914478"/>
      <w:bookmarkStart w:id="26" w:name="_Toc312913017"/>
      <w:bookmarkStart w:id="27" w:name="_Toc312674526"/>
      <w:bookmarkStart w:id="28" w:name="_Toc214245335"/>
      <w:r>
        <w:rPr>
          <w:rFonts w:hint="eastAsia" w:ascii="宋体" w:hAnsi="宋体" w:eastAsia="宋体" w:cs="宋体"/>
          <w:b/>
          <w:bCs/>
          <w:color w:val="auto"/>
          <w:kern w:val="0"/>
          <w:szCs w:val="21"/>
          <w:highlight w:val="none"/>
        </w:rPr>
        <w:t>十三、设计考核</w:t>
      </w:r>
    </w:p>
    <w:p>
      <w:pPr>
        <w:widowControl/>
        <w:numPr>
          <w:ilvl w:val="255"/>
          <w:numId w:val="0"/>
        </w:numPr>
        <w:adjustRightInd w:val="0"/>
        <w:snapToGrid w:val="0"/>
        <w:spacing w:line="360" w:lineRule="auto"/>
        <w:ind w:firstLine="420" w:firstLineChars="200"/>
        <w:jc w:val="left"/>
        <w:rPr>
          <w:rFonts w:ascii="仿宋_GB2312" w:hAnsi="仿宋_GB2312" w:eastAsia="仿宋_GB2312" w:cs="仿宋_GB2312"/>
          <w:bCs/>
          <w:color w:val="auto"/>
          <w:kern w:val="28"/>
          <w:sz w:val="24"/>
          <w:szCs w:val="24"/>
          <w:highlight w:val="none"/>
        </w:rPr>
      </w:pPr>
      <w:r>
        <w:rPr>
          <w:rFonts w:hint="eastAsia" w:ascii="宋体" w:hAnsi="宋体" w:eastAsia="宋体" w:cs="宋体"/>
          <w:color w:val="auto"/>
          <w:kern w:val="0"/>
          <w:szCs w:val="21"/>
          <w:highlight w:val="none"/>
        </w:rPr>
        <w:t>对乙方在工作考核管理，详见附件《履约评价管理办法》。合同期内有发布新规定的，按新规定执行。</w:t>
      </w:r>
    </w:p>
    <w:bookmarkEnd w:id="19"/>
    <w:bookmarkEnd w:id="20"/>
    <w:bookmarkEnd w:id="21"/>
    <w:bookmarkEnd w:id="22"/>
    <w:bookmarkEnd w:id="23"/>
    <w:bookmarkEnd w:id="24"/>
    <w:bookmarkEnd w:id="25"/>
    <w:bookmarkEnd w:id="26"/>
    <w:bookmarkEnd w:id="27"/>
    <w:bookmarkEnd w:id="28"/>
    <w:p>
      <w:pPr>
        <w:widowControl/>
        <w:adjustRightInd w:val="0"/>
        <w:snapToGrid w:val="0"/>
        <w:spacing w:line="360" w:lineRule="auto"/>
        <w:ind w:firstLine="422" w:firstLineChars="200"/>
        <w:jc w:val="left"/>
        <w:outlineLvl w:val="0"/>
        <w:rPr>
          <w:rFonts w:ascii="宋体" w:hAnsi="宋体" w:eastAsia="宋体" w:cs="宋体"/>
          <w:b/>
          <w:bCs/>
          <w:color w:val="auto"/>
          <w:kern w:val="0"/>
          <w:szCs w:val="21"/>
          <w:highlight w:val="none"/>
        </w:rPr>
      </w:pPr>
      <w:bookmarkStart w:id="29" w:name="_Toc410313462"/>
      <w:bookmarkStart w:id="30" w:name="_Toc311469732"/>
      <w:bookmarkStart w:id="31" w:name="_Toc322695060"/>
      <w:bookmarkStart w:id="32" w:name="_Toc312913019"/>
      <w:bookmarkStart w:id="33" w:name="_Toc312912874"/>
      <w:bookmarkStart w:id="34" w:name="_Toc312674528"/>
      <w:bookmarkStart w:id="35" w:name="_Toc387914489"/>
      <w:bookmarkStart w:id="36" w:name="_Toc319919250"/>
      <w:bookmarkStart w:id="37" w:name="_Toc311450526"/>
      <w:bookmarkStart w:id="38" w:name="_Toc277948888"/>
      <w:bookmarkStart w:id="39" w:name="_Toc214245337"/>
      <w:bookmarkStart w:id="40" w:name="_Toc214245357"/>
      <w:r>
        <w:rPr>
          <w:rFonts w:hint="eastAsia" w:ascii="宋体" w:hAnsi="宋体" w:eastAsia="宋体" w:cs="宋体"/>
          <w:b/>
          <w:bCs/>
          <w:color w:val="auto"/>
          <w:kern w:val="0"/>
          <w:szCs w:val="21"/>
          <w:highlight w:val="none"/>
        </w:rPr>
        <w:t>十四、知识产权与保密</w:t>
      </w:r>
      <w:bookmarkEnd w:id="29"/>
      <w:bookmarkEnd w:id="30"/>
      <w:bookmarkEnd w:id="31"/>
      <w:bookmarkEnd w:id="32"/>
      <w:bookmarkEnd w:id="33"/>
      <w:bookmarkEnd w:id="34"/>
      <w:bookmarkEnd w:id="35"/>
      <w:bookmarkEnd w:id="36"/>
    </w:p>
    <w:p>
      <w:pPr>
        <w:widowControl/>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14.1合同履约过程中涉及的设计成果（包括但不限于中间成果、最终成果等）及版权归甲方所有。</w:t>
      </w:r>
    </w:p>
    <w:p>
      <w:pPr>
        <w:widowControl/>
        <w:numPr>
          <w:ilvl w:val="255"/>
          <w:numId w:val="0"/>
        </w:numPr>
        <w:adjustRightInd w:val="0"/>
        <w:snapToGrid w:val="0"/>
        <w:spacing w:line="360" w:lineRule="auto"/>
        <w:ind w:firstLine="420" w:firstLineChars="200"/>
        <w:jc w:val="left"/>
        <w:rPr>
          <w:rFonts w:ascii="宋体" w:hAnsi="宋体" w:eastAsia="宋体" w:cs="宋体"/>
          <w:color w:val="auto"/>
          <w:kern w:val="0"/>
          <w:szCs w:val="21"/>
          <w:highlight w:val="none"/>
        </w:rPr>
      </w:pPr>
      <w:bookmarkStart w:id="41" w:name="_Toc387914490"/>
      <w:bookmarkStart w:id="42" w:name="_Toc387914293"/>
      <w:bookmarkStart w:id="43" w:name="_Toc386646512"/>
      <w:r>
        <w:rPr>
          <w:rFonts w:hint="eastAsia" w:ascii="宋体" w:hAnsi="宋体" w:eastAsia="宋体" w:cs="宋体"/>
          <w:color w:val="auto"/>
          <w:kern w:val="0"/>
          <w:szCs w:val="21"/>
          <w:highlight w:val="none"/>
        </w:rPr>
        <w:t>14.2因履行本合同所产生的研究成果及其相关知识产权权利归属甲方所有，乙方未经甲方书面允许不得擅自使用或提供给第三方。乙方应保证其向甲方提交的成果或服务（包括阶段性和最终成果）不侵犯任何第三人的合法权益。乙方向甲方提交的成果或服务（包括阶段性和最终成果）使用第三人专利、专有技术、技术秘密、商业秘密、著作权、商标权等知识产权的，乙方应向甲方说明所涉知识产权权利人名称等权利情况。</w:t>
      </w:r>
      <w:bookmarkEnd w:id="41"/>
      <w:bookmarkEnd w:id="42"/>
      <w:bookmarkEnd w:id="43"/>
    </w:p>
    <w:bookmarkEnd w:id="37"/>
    <w:bookmarkEnd w:id="38"/>
    <w:bookmarkEnd w:id="39"/>
    <w:bookmarkEnd w:id="40"/>
    <w:p>
      <w:pPr>
        <w:widowControl/>
        <w:numPr>
          <w:ilvl w:val="255"/>
          <w:numId w:val="0"/>
        </w:numPr>
        <w:adjustRightInd w:val="0"/>
        <w:snapToGrid w:val="0"/>
        <w:spacing w:line="360" w:lineRule="auto"/>
        <w:ind w:firstLine="420" w:firstLineChars="200"/>
        <w:jc w:val="left"/>
        <w:rPr>
          <w:rFonts w:ascii="宋体" w:hAnsi="宋体" w:eastAsia="宋体" w:cs="宋体"/>
          <w:color w:val="auto"/>
          <w:kern w:val="0"/>
          <w:szCs w:val="21"/>
          <w:highlight w:val="none"/>
        </w:rPr>
      </w:pPr>
      <w:bookmarkStart w:id="44" w:name="_Toc387914491"/>
      <w:bookmarkStart w:id="45" w:name="_Toc387914294"/>
      <w:bookmarkStart w:id="46" w:name="_Toc386646513"/>
      <w:r>
        <w:rPr>
          <w:rFonts w:hint="eastAsia" w:ascii="宋体" w:hAnsi="宋体" w:eastAsia="宋体" w:cs="宋体"/>
          <w:color w:val="auto"/>
          <w:kern w:val="0"/>
          <w:szCs w:val="21"/>
          <w:highlight w:val="none"/>
        </w:rPr>
        <w:t>14.3乙方提供的成果或服务，如使用第三人专利、专有技术、技术秘密、商业秘密、著作权、商标权等知识产权的，应当在提交初步成果时向甲方提交权利人同意使用其知识产权的《使用许可》（书面形式），相关知识产权使用费由乙方承担。如乙方提供的成果或服务，不涉及第三人权利使用，乙方应当在提交初步成果时向委托方提交未使用第三人知识产权的《承诺书》。</w:t>
      </w:r>
      <w:bookmarkEnd w:id="44"/>
      <w:bookmarkEnd w:id="45"/>
      <w:bookmarkEnd w:id="46"/>
    </w:p>
    <w:p>
      <w:pPr>
        <w:widowControl/>
        <w:numPr>
          <w:ilvl w:val="255"/>
          <w:numId w:val="0"/>
        </w:numPr>
        <w:adjustRightInd w:val="0"/>
        <w:snapToGrid w:val="0"/>
        <w:spacing w:line="360" w:lineRule="auto"/>
        <w:ind w:firstLine="420" w:firstLineChars="200"/>
        <w:jc w:val="left"/>
        <w:rPr>
          <w:rFonts w:ascii="宋体" w:hAnsi="宋体" w:eastAsia="宋体" w:cs="宋体"/>
          <w:color w:val="auto"/>
          <w:kern w:val="0"/>
          <w:szCs w:val="21"/>
          <w:highlight w:val="none"/>
        </w:rPr>
      </w:pPr>
      <w:bookmarkStart w:id="47" w:name="_Toc387914295"/>
      <w:bookmarkStart w:id="48" w:name="_Toc386646514"/>
      <w:bookmarkStart w:id="49" w:name="_Toc387914492"/>
      <w:r>
        <w:rPr>
          <w:rFonts w:hint="eastAsia" w:ascii="宋体" w:hAnsi="宋体" w:eastAsia="宋体" w:cs="宋体"/>
          <w:color w:val="auto"/>
          <w:kern w:val="0"/>
          <w:szCs w:val="21"/>
          <w:highlight w:val="none"/>
        </w:rPr>
        <w:t>14.4甲方因使用乙方提交的成果或服务被第三人指控侵权、提出异议或权利主张的，乙方应当积极协助解决，并承担由此给甲方造成的所有利益损失（包括但不限于甲方实际损失、赔偿、诉讼费用及律师费等）。</w:t>
      </w:r>
      <w:bookmarkEnd w:id="47"/>
      <w:bookmarkEnd w:id="48"/>
      <w:bookmarkEnd w:id="49"/>
      <w:r>
        <w:rPr>
          <w:rFonts w:hint="eastAsia" w:ascii="宋体" w:hAnsi="宋体" w:eastAsia="宋体" w:cs="宋体"/>
          <w:color w:val="auto"/>
          <w:kern w:val="0"/>
          <w:szCs w:val="21"/>
          <w:highlight w:val="none"/>
        </w:rPr>
        <w:t>此种情况下，甲方有权解除合同，并有权追究乙方责任。</w:t>
      </w:r>
    </w:p>
    <w:p>
      <w:pPr>
        <w:widowControl/>
        <w:numPr>
          <w:ilvl w:val="255"/>
          <w:numId w:val="0"/>
        </w:numPr>
        <w:adjustRightInd w:val="0"/>
        <w:snapToGrid w:val="0"/>
        <w:spacing w:line="360" w:lineRule="auto"/>
        <w:ind w:firstLine="420" w:firstLineChars="200"/>
        <w:jc w:val="left"/>
        <w:rPr>
          <w:rFonts w:ascii="宋体" w:hAnsi="宋体" w:eastAsia="宋体" w:cs="宋体"/>
          <w:color w:val="auto"/>
          <w:kern w:val="0"/>
          <w:szCs w:val="21"/>
          <w:highlight w:val="none"/>
        </w:rPr>
      </w:pPr>
      <w:bookmarkStart w:id="50" w:name="_Toc386646515"/>
      <w:bookmarkStart w:id="51" w:name="_Toc387914493"/>
      <w:bookmarkStart w:id="52" w:name="_Toc387914296"/>
      <w:r>
        <w:rPr>
          <w:rFonts w:hint="eastAsia" w:ascii="宋体" w:hAnsi="宋体" w:eastAsia="宋体" w:cs="宋体"/>
          <w:color w:val="auto"/>
          <w:kern w:val="0"/>
          <w:szCs w:val="21"/>
          <w:highlight w:val="none"/>
        </w:rPr>
        <w:t>14.5在甲方遵守本合同规定的前提下，因乙方提交的成果或服务导致第三人的任何专利、专有技术、技术秘密、商业秘密、著作权、商标权等知识产权及其他相关权利受到侵犯或声称受到侵犯，乙方应保证甲方免受第三人追偿。因乙方侵犯第三人权利导致甲方的任何利益损失，乙方承诺予以偿还。</w:t>
      </w:r>
      <w:bookmarkEnd w:id="50"/>
      <w:bookmarkEnd w:id="51"/>
      <w:bookmarkEnd w:id="52"/>
    </w:p>
    <w:p>
      <w:pPr>
        <w:widowControl/>
        <w:numPr>
          <w:ilvl w:val="255"/>
          <w:numId w:val="0"/>
        </w:numPr>
        <w:adjustRightInd w:val="0"/>
        <w:snapToGrid w:val="0"/>
        <w:spacing w:line="360" w:lineRule="auto"/>
        <w:ind w:firstLine="420" w:firstLineChars="200"/>
        <w:jc w:val="left"/>
        <w:rPr>
          <w:rFonts w:ascii="宋体" w:hAnsi="宋体" w:eastAsia="宋体" w:cs="宋体"/>
          <w:color w:val="auto"/>
          <w:kern w:val="0"/>
          <w:szCs w:val="21"/>
          <w:highlight w:val="none"/>
        </w:rPr>
      </w:pPr>
      <w:bookmarkStart w:id="53" w:name="_Toc387914297"/>
      <w:bookmarkStart w:id="54" w:name="_Toc386646516"/>
      <w:bookmarkStart w:id="55" w:name="_Toc387914494"/>
      <w:r>
        <w:rPr>
          <w:rFonts w:hint="eastAsia" w:ascii="宋体" w:hAnsi="宋体" w:eastAsia="宋体" w:cs="宋体"/>
          <w:color w:val="auto"/>
          <w:kern w:val="0"/>
          <w:szCs w:val="21"/>
          <w:highlight w:val="none"/>
        </w:rPr>
        <w:t>14.6乙方违反上述条款有关约定的，单次违约应当向甲方支付合同价款20%的违约金。</w:t>
      </w:r>
      <w:bookmarkEnd w:id="53"/>
      <w:bookmarkEnd w:id="54"/>
      <w:bookmarkEnd w:id="55"/>
    </w:p>
    <w:p>
      <w:pPr>
        <w:widowControl/>
        <w:numPr>
          <w:ilvl w:val="255"/>
          <w:numId w:val="0"/>
        </w:numPr>
        <w:adjustRightInd w:val="0"/>
        <w:snapToGrid w:val="0"/>
        <w:spacing w:line="360" w:lineRule="auto"/>
        <w:ind w:firstLine="420" w:firstLineChars="200"/>
        <w:jc w:val="left"/>
        <w:rPr>
          <w:rFonts w:ascii="宋体" w:hAnsi="宋体" w:eastAsia="宋体" w:cs="宋体"/>
          <w:color w:val="auto"/>
          <w:kern w:val="0"/>
          <w:szCs w:val="21"/>
          <w:highlight w:val="none"/>
        </w:rPr>
      </w:pPr>
      <w:bookmarkStart w:id="56" w:name="_Toc387914495"/>
      <w:bookmarkStart w:id="57" w:name="_Toc387914298"/>
      <w:bookmarkStart w:id="58" w:name="_Toc386646517"/>
      <w:r>
        <w:rPr>
          <w:rFonts w:hint="eastAsia" w:ascii="宋体" w:hAnsi="宋体" w:eastAsia="宋体" w:cs="宋体"/>
          <w:color w:val="auto"/>
          <w:kern w:val="0"/>
          <w:szCs w:val="21"/>
          <w:highlight w:val="none"/>
        </w:rPr>
        <w:t>14.7乙方对于评估数据等技术资料必须保密。除非甲方书面通知，不得解密。乙方不得向第三方提供本项目评估数据等技术资料。如乙方违反此项规定，须赔偿由此而导致对甲方的损失及损害，并承担法律责任。</w:t>
      </w:r>
      <w:bookmarkEnd w:id="56"/>
      <w:bookmarkEnd w:id="57"/>
      <w:bookmarkEnd w:id="58"/>
    </w:p>
    <w:p>
      <w:pPr>
        <w:widowControl/>
        <w:numPr>
          <w:ilvl w:val="255"/>
          <w:numId w:val="0"/>
        </w:numPr>
        <w:adjustRightInd w:val="0"/>
        <w:snapToGrid w:val="0"/>
        <w:spacing w:line="360" w:lineRule="auto"/>
        <w:ind w:firstLine="420" w:firstLineChars="200"/>
        <w:jc w:val="left"/>
        <w:rPr>
          <w:rFonts w:ascii="宋体" w:hAnsi="宋体" w:eastAsia="宋体" w:cs="宋体"/>
          <w:color w:val="auto"/>
          <w:kern w:val="0"/>
          <w:szCs w:val="21"/>
          <w:highlight w:val="none"/>
        </w:rPr>
      </w:pPr>
      <w:bookmarkStart w:id="59" w:name="_Toc386646518"/>
      <w:bookmarkStart w:id="60" w:name="_Toc387914299"/>
      <w:bookmarkStart w:id="61" w:name="_Toc387914496"/>
      <w:r>
        <w:rPr>
          <w:rFonts w:hint="eastAsia" w:ascii="宋体" w:hAnsi="宋体" w:eastAsia="宋体" w:cs="宋体"/>
          <w:color w:val="auto"/>
          <w:kern w:val="0"/>
          <w:szCs w:val="21"/>
          <w:highlight w:val="none"/>
        </w:rPr>
        <w:t>14.8未经甲方批准，乙方不得向与本合同无关的第三方提供本项目技术成果或允许无关的第三方使用本项目技术成果。</w:t>
      </w:r>
      <w:bookmarkEnd w:id="59"/>
      <w:bookmarkEnd w:id="60"/>
      <w:bookmarkEnd w:id="61"/>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14.9乙方在履行和完成本合同项下设计服务工作过程中各阶段形成的全部设计成果、设计文件的知识产权归甲方享有。甲方有权在本项目上自由使用所有设计成果和设计文件，并有权根据需要要求乙方对设计成果和设计文件进行合理、适当的修改。同时：</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14.9.1本合同因乙方违约而解除，甲方有权单方面修改合同项下的设计成果、设计文件，但乙方应向甲方承担违约责任。</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14.9.2本合同因甲方违约而解除，在核算并支付乙方已完成工作量的费用之后</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甲方有权继续完成本项目，并有权根据继续完成本项目的需要单方面修改合同项下的设计成果、设计文件。</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14.9.3本合同终止或因不可抗力而解除，甲方有权单方面修改合同项下的设计成果、设计文件。</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14.9.4本合同生效后，无论本合同存在任何争议，或因任何原因而导致本合同终止、解除，乙方均应立即将其为履行本合同项下义务已形成的、尚未提供的设计成果全部交付给甲方，并将相应阶段的设计进行交底。</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14.9.5乙方关于知识产权的界定不得侵犯或损害本合同赋予甲方的知识产权。</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14.9.6本项目的全部成果和设计文件不得被乙方或其他方全部或部分地用于本项目以外的或者本合同约定目的以外的其他项目或其他目的。乙方在书面征得甲方同意后，可引用本项目信息用于对外宣传，但对外宣传不得侵害甲方权益。</w:t>
      </w:r>
    </w:p>
    <w:p>
      <w:pPr>
        <w:widowControl/>
        <w:numPr>
          <w:ilvl w:val="0"/>
          <w:numId w:val="2"/>
        </w:numPr>
        <w:tabs>
          <w:tab w:val="left" w:pos="284"/>
        </w:tabs>
        <w:adjustRightInd w:val="0"/>
        <w:snapToGrid w:val="0"/>
        <w:spacing w:line="360" w:lineRule="auto"/>
        <w:ind w:firstLine="422" w:firstLineChars="200"/>
        <w:outlineLvl w:val="0"/>
        <w:rPr>
          <w:rFonts w:ascii="Times New Roman" w:hAnsi="Times New Roman" w:eastAsia="宋体" w:cs="Times New Roman"/>
          <w:color w:val="auto"/>
          <w:szCs w:val="20"/>
          <w:highlight w:val="none"/>
        </w:rPr>
      </w:pPr>
      <w:bookmarkStart w:id="62" w:name="_Toc311469734"/>
      <w:bookmarkStart w:id="63" w:name="_Toc322695062"/>
      <w:bookmarkStart w:id="64" w:name="_Toc214245359"/>
      <w:bookmarkStart w:id="65" w:name="_Toc277948890"/>
      <w:bookmarkStart w:id="66" w:name="_Toc214245339"/>
      <w:bookmarkStart w:id="67" w:name="_Toc410313464"/>
      <w:bookmarkStart w:id="68" w:name="_Toc312912876"/>
      <w:bookmarkStart w:id="69" w:name="_Toc387914502"/>
      <w:bookmarkStart w:id="70" w:name="_Toc312913021"/>
      <w:bookmarkStart w:id="71" w:name="_Toc312674530"/>
      <w:bookmarkStart w:id="72" w:name="_Toc311450528"/>
      <w:bookmarkStart w:id="73" w:name="_Toc319919252"/>
      <w:r>
        <w:rPr>
          <w:rFonts w:hint="eastAsia" w:ascii="宋体" w:hAnsi="宋体" w:eastAsia="宋体" w:cs="Times New Roman"/>
          <w:b/>
          <w:bCs/>
          <w:color w:val="auto"/>
          <w:szCs w:val="21"/>
          <w:highlight w:val="none"/>
        </w:rPr>
        <w:t>违约责任</w:t>
      </w:r>
      <w:bookmarkEnd w:id="62"/>
      <w:bookmarkEnd w:id="63"/>
      <w:bookmarkEnd w:id="64"/>
      <w:bookmarkEnd w:id="65"/>
      <w:bookmarkEnd w:id="66"/>
      <w:bookmarkEnd w:id="67"/>
      <w:bookmarkEnd w:id="68"/>
      <w:bookmarkEnd w:id="69"/>
      <w:bookmarkEnd w:id="70"/>
      <w:bookmarkEnd w:id="71"/>
      <w:bookmarkEnd w:id="72"/>
      <w:bookmarkEnd w:id="73"/>
    </w:p>
    <w:p>
      <w:pPr>
        <w:adjustRightInd w:val="0"/>
        <w:snapToGrid w:val="0"/>
        <w:spacing w:line="360" w:lineRule="auto"/>
        <w:ind w:firstLine="420" w:firstLineChars="200"/>
        <w:outlineLvl w:val="1"/>
        <w:rPr>
          <w:rFonts w:ascii="宋体" w:hAnsi="宋体" w:eastAsia="宋体" w:cs="Times New Roman"/>
          <w:color w:val="auto"/>
          <w:szCs w:val="21"/>
          <w:highlight w:val="none"/>
        </w:rPr>
      </w:pPr>
      <w:bookmarkStart w:id="74" w:name="_Hlk174308356"/>
      <w:r>
        <w:rPr>
          <w:rFonts w:hint="eastAsia" w:ascii="宋体" w:hAnsi="宋体" w:eastAsia="宋体" w:cs="Times New Roman"/>
          <w:color w:val="auto"/>
          <w:szCs w:val="21"/>
          <w:highlight w:val="none"/>
        </w:rPr>
        <w:t>15.1甲方违约与赔偿</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15.1.1若乙方不存在任何违约行为或预期违约行为，而甲方无正当理由未按合同约定支付相应设计费的，则被认作是迟付。甲方应承担逾期支付违约责任。但甲方依本合同约定暂不向乙方支付款项的情形除外。</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15.1.2若甲方对任何一次的设计费付款有任何争议时，可在收到乙方要求付款通知之日起30天内以书面形式通知乙方，并说明争议的内容和原因，付款时间相应顺延至争议得到解决之日，乙方不得因此而推迟提交设计文件。</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15.1.3在本合同履行过程中，甲方有权单方面决定提前解除本合同并书面通知乙方，解除通知送达乙方时本合同解除，甲方不承担任何违约责任，甲方应按合同条款结算乙方已实际完成工作的服务费用，如已开始工作且实际工作量价款少于已付的合同款，乙方不退还差额部分。 </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15.1.4由于政府（政府部门）政策、决定、通知或海绵城市、航空限高、不可抗力等原因，甲方要求终止或解除合同，甲方除按合同条款根据乙方实际完成的工作量进行结算外，无须向乙方支付任何补偿或赔偿或承担其他法律责任。</w:t>
      </w:r>
    </w:p>
    <w:p>
      <w:pPr>
        <w:adjustRightInd w:val="0"/>
        <w:snapToGrid w:val="0"/>
        <w:spacing w:line="360" w:lineRule="auto"/>
        <w:ind w:firstLine="420" w:firstLineChars="200"/>
        <w:outlineLvl w:val="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15.2乙方违约与赔偿</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15.2.1乙方转包或擅自分包的，或以挂靠方式承揽图纸设计合同，甲方有权解除全部合同或相应部分合同，此前所有设计成果、文件的所有权及知识产权均归属甲方；乙方应向甲方支付合同价款20%的违约金，造成甲方损失的，乙方还应承担赔偿责任。</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15.2.2若乙方所提交的设计方案达不到本合同约定的设计要求，或因乙方所提交的设计方案不完善、深度不够、质量低劣而造成质量问题或工程返工，则除由乙方负责在甲方约定的时间内继续完善、修改设计外，乙方应向甲方支付合同价款10%的赔偿。</w:t>
      </w:r>
    </w:p>
    <w:p>
      <w:pPr>
        <w:pStyle w:val="4"/>
        <w:spacing w:line="360" w:lineRule="auto"/>
        <w:ind w:firstLine="420" w:firstLineChars="200"/>
        <w:rPr>
          <w:color w:val="auto"/>
          <w:highlight w:val="none"/>
        </w:rPr>
      </w:pPr>
      <w:r>
        <w:rPr>
          <w:rFonts w:hint="eastAsia" w:ascii="宋体" w:hAnsi="宋体"/>
          <w:color w:val="auto"/>
          <w:szCs w:val="21"/>
          <w:highlight w:val="none"/>
        </w:rPr>
        <w:t>15.2.3合同生效后，乙方如要求终止或解除合同，则在30日内乙方须全额退还甲方已支付的设计费，同时应向甲方支付本合同总价的10%作为赔偿金。</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15.2.4因乙方原因导致有关部门未批准全部设计阶段文件超过3次的，甲方有权单方解除全部合同或解除相应部分合同，乙方应向甲方支付合同价款10%的赔偿。</w:t>
      </w:r>
    </w:p>
    <w:p>
      <w:pPr>
        <w:pStyle w:val="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15.2.5在合同履行期间，甲方违反本合同约定要求解除合同，乙方不退还甲方支付的所有工程款，甲方还需根据乙方实际完成的工作量按照比例支付相应的工程款；乙方明确不履行本合同约定的义务，故意拖延履行约定义务或严重违反本合同约定要求的，甲方有权单方面解除合同，解除通知自送达乙方时生效，乙方应向甲方退还所有已付费用，并赔偿甲方相当于合同总价10%的违约金。</w:t>
      </w:r>
    </w:p>
    <w:p>
      <w:pPr>
        <w:adjustRightInd w:val="0"/>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15.2.6</w:t>
      </w:r>
      <w:r>
        <w:rPr>
          <w:rFonts w:hint="eastAsia" w:ascii="宋体" w:hAnsi="宋体" w:eastAsia="宋体" w:cs="Times New Roman"/>
          <w:color w:val="auto"/>
          <w:szCs w:val="21"/>
          <w:highlight w:val="none"/>
        </w:rPr>
        <w:t>乙方因自身原因而未按专用条款约定的时间交付设计文件的，向甲方支付违约金方式为：每逾期一日，乙方按合同总价的</w:t>
      </w:r>
      <w:r>
        <w:rPr>
          <w:rFonts w:ascii="宋体" w:hAnsi="宋体" w:eastAsia="宋体" w:cs="Times New Roman"/>
          <w:color w:val="auto"/>
          <w:szCs w:val="21"/>
          <w:highlight w:val="none"/>
        </w:rPr>
        <w:t xml:space="preserve"> 0.1%的标准向甲方支付违约金；乙方逾期完成约定事务超过15日的，甲方有权单方解除合同。</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15.2.7若因乙方原因导致提交的设计文件无法通过甲方组织的设计审查，或不能获得政府主管部门批准，甲方有权发出如下任何指令，乙方必须遵照执行：要求乙方对不合格部分进行重新设计，不得另外索取费用。重新设计后仍未能通过有关部门的审批，由此造成工期延误的，甲方有权扣除该阶段付款金额的5%作为罚款，并要求乙方增加投入，确保下一阶段设计按期完成。如采取上述措施仍未达到要求，则将该不合格部分另行委托给其它单位设计，并扣除乙方设计费中此部分的设计费用。</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15.2.8乙方未按甲方提供的成本限额进行设计，甲方有权要求乙方对重新设计或进行修改，乙方不得另外索取费用，甲方有权扣除该阶段付款金额的5%作为罚款，并要求乙方增加投入，确保设计控制在限额以内。如采取上述措施仍未达到要求，则将该不合格部分另行委托给其它单位设计，并扣除乙方设计费中此部分的设计费用。</w:t>
      </w:r>
    </w:p>
    <w:p>
      <w:pPr>
        <w:adjustRightInd w:val="0"/>
        <w:snapToGrid w:val="0"/>
        <w:spacing w:line="360" w:lineRule="auto"/>
        <w:ind w:firstLine="420" w:firstLineChars="200"/>
        <w:rPr>
          <w:color w:val="auto"/>
          <w:highlight w:val="none"/>
        </w:rPr>
      </w:pPr>
      <w:r>
        <w:rPr>
          <w:rFonts w:ascii="宋体" w:hAnsi="宋体" w:cs="Times New Roman"/>
          <w:color w:val="auto"/>
          <w:szCs w:val="21"/>
          <w:highlight w:val="none"/>
        </w:rPr>
        <w:t>15.2.9</w:t>
      </w:r>
      <w:r>
        <w:rPr>
          <w:rFonts w:hint="eastAsia" w:ascii="宋体" w:hAnsi="宋体" w:eastAsia="宋体" w:cs="Times New Roman"/>
          <w:color w:val="auto"/>
          <w:szCs w:val="21"/>
          <w:highlight w:val="none"/>
        </w:rPr>
        <w:t>乙方在施工阶段与施工单位串通，随意修改图纸及设计变更，甲方有权扣除该阶段付款金额的</w:t>
      </w: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作为罚款，并要求乙方更换设计人员。更换人员后，仍与施工单位，施工单位串通，随意修改图纸及设计变更的，甲方有权单方解除合同，并要求乙方应向甲方支付合同价款</w:t>
      </w:r>
      <w:r>
        <w:rPr>
          <w:rFonts w:ascii="宋体" w:hAnsi="宋体" w:eastAsia="宋体" w:cs="Times New Roman"/>
          <w:color w:val="auto"/>
          <w:szCs w:val="21"/>
          <w:highlight w:val="none"/>
        </w:rPr>
        <w:t>5%的赔偿。</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cs="Times New Roman"/>
          <w:color w:val="auto"/>
          <w:szCs w:val="21"/>
          <w:highlight w:val="none"/>
        </w:rPr>
        <w:t>15.2.10</w:t>
      </w:r>
      <w:r>
        <w:rPr>
          <w:rFonts w:hint="eastAsia" w:ascii="宋体" w:hAnsi="宋体" w:eastAsia="宋体" w:cs="Times New Roman"/>
          <w:color w:val="auto"/>
          <w:szCs w:val="21"/>
          <w:highlight w:val="none"/>
        </w:rPr>
        <w:t>因乙方未根据工程现场实际条件进行设计或未对现场进行复核导致施工图纸偏差、施工签证及工程量追加、投资增加的，应承担其设计责任和并罚款10000元/次。</w:t>
      </w:r>
    </w:p>
    <w:p>
      <w:pPr>
        <w:pStyle w:val="4"/>
        <w:ind w:firstLine="420" w:firstLineChars="200"/>
        <w:rPr>
          <w:color w:val="auto"/>
          <w:highlight w:val="none"/>
        </w:rPr>
      </w:pPr>
      <w:r>
        <w:rPr>
          <w:color w:val="auto"/>
          <w:highlight w:val="none"/>
        </w:rPr>
        <w:t>15.2.11</w:t>
      </w:r>
      <w:r>
        <w:rPr>
          <w:rFonts w:hint="eastAsia"/>
          <w:color w:val="auto"/>
          <w:highlight w:val="none"/>
        </w:rPr>
        <w:t>乙方未按甲方要求，在合同履行期间委派设计人员常驻项目部上班的，应向甲方支付人民币</w:t>
      </w:r>
      <w:r>
        <w:rPr>
          <w:color w:val="auto"/>
          <w:highlight w:val="none"/>
        </w:rPr>
        <w:t>1</w:t>
      </w:r>
      <w:r>
        <w:rPr>
          <w:rFonts w:hint="eastAsia"/>
          <w:color w:val="auto"/>
          <w:highlight w:val="none"/>
        </w:rPr>
        <w:t>万元</w:t>
      </w:r>
      <w:r>
        <w:rPr>
          <w:color w:val="auto"/>
          <w:highlight w:val="none"/>
        </w:rPr>
        <w:t>/</w:t>
      </w:r>
      <w:r>
        <w:rPr>
          <w:rFonts w:hint="eastAsia"/>
          <w:color w:val="auto"/>
          <w:highlight w:val="none"/>
        </w:rPr>
        <w:t>人的违约金。并且甲方有权单方面解除合同，由此产生的一切损失由乙方承担。</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15.2.12未经甲方书面认可，乙方不得在设计过程中任意变更项目负责人及各专业设计人员。否则，乙方按以下方式向甲方支付违约金：变更项目设计负责人,乙方须向甲方支付违约金10000元/人次，变更各专业负责人乙方须向甲方支付违约金30000元/人次，变更各专业设计人员乙方须向甲方支付违约金5000元/人次。如出现某专业设计文件不符合甲方要求，甲方要求乙方更换设计人员，乙方须根据甲方要求及时更换该设计人员，如7日内未按甲方要求更换，乙方应向甲方支付违约金5000元/人次，且仍继续更换至满足甲方要求为止。</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15.2.13乙方应对甲方指令应2小时内积极、主动响应并回复，如有消极、懈怠、推诿、拖延、不回复等情况，按1000元/次处罚。</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15.2.14甲方提前一天通知（紧急情况随时通知）乙方参加项目相关的设计例会、成果汇报、工程例会、现场各种会议及与本项目有关的各种考察、选样等，项目设计负责人、各专业设计负责人及设计人员未按时参加各类会议，并未按通知要求做好会议准备，按1000元/次处罚，迟到、早退或不遵守会议纪律等，按500元/人次处罚。项目设计负责人、各专业设计负责人未按时参加各类会议超5次的，甲方有权扣除该阶段付款金额的15%作为罚款。</w:t>
      </w:r>
    </w:p>
    <w:p>
      <w:pPr>
        <w:pStyle w:val="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15.2.15乙方应赔偿因设计图纸错、漏、碰、缺带来的设计变更所引发的工程费增加、施工返工费、误工费等，处理原则如下：</w:t>
      </w:r>
    </w:p>
    <w:p>
      <w:pPr>
        <w:pStyle w:val="4"/>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（1）由于设计图纸错、漏、碰、缺引起的施工返工，乙方及时处理，未对施工工期造成影响的，甲方有权罚款5000元/次。</w:t>
      </w:r>
    </w:p>
    <w:p>
      <w:pPr>
        <w:pStyle w:val="4"/>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（2）由于设计图纸错、漏、碰、缺引起的施工返工、停工，乙方未能及时处理，对施工工期造成了较大的影响，甲方有权罚款15000元/次。</w:t>
      </w:r>
    </w:p>
    <w:p>
      <w:pPr>
        <w:pStyle w:val="4"/>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（3）因乙方原因引起的工程设计变更费增加50万以下，甲方有权罚款5000元/次。因乙方原因引起的工程设计变更费增加50万以上，甲方有权罚款10000元/次。</w:t>
      </w:r>
    </w:p>
    <w:p>
      <w:pPr>
        <w:pStyle w:val="4"/>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（4）由于乙方过度设计导致效果无法实施落地，根据情节轻重，甲方有权罚款10000元/次。</w:t>
      </w:r>
    </w:p>
    <w:p>
      <w:pPr>
        <w:pStyle w:val="4"/>
        <w:adjustRightInd w:val="0"/>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（5）变更审查会通过后一周内未出具设计变更，甲方有权罚款5000元/次。</w:t>
      </w:r>
    </w:p>
    <w:p>
      <w:pPr>
        <w:pStyle w:val="4"/>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15.2.15乙方未按要求提供设计样板且不组织设计样板考察挑选，甲方有权罚款5000元/次。</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15.2.16未经甲方同意，乙方派驻甲方办公或驻场的人员擅自离岗或旷工，甲方有权按1000元/次处罚。</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15.2.17对于各项处罚，甲方将在核实情况后，向乙方下达书面《处罚通知单》，据此单实施扣款。</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15.2.18因设计原因导致工程施工安全事故或安全隐患，乙方应承担所造成的全部损失。</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15.2.19乙方在合同有效期内，应当履行合同约定的义务，如因非甲方的原因而产生设计质量事故、工期延误或设计缺陷，致甲方产生费用和损失或虽未发生实际损失但存在风险，乙方应承担相应赔偿责任。</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15.2.20乙方违反本合同其他条款，也构成违约，除按相应条款规定承担违约责任外，还应赔偿由此给甲方造成的全部损失。发生违约行为时，乙方应承担的因乙方违约对甲方所造成的全部损失，甲方有权在应支付给乙方的各阶段款项中扣除乙方应承担的违约金。</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15.2.21乙方在工作过程中若发生以下问题，甲方有权解除设计合同，并追究乙方相应法律责任：违反法律法规和工程建设强制性标准的；欺骗、瞒骗甲方行为的；违反独立性原则，与其他设计或勘察单位串通损害甲方利益的；逾期10天完成合同约定义务的；其它严重违约行为。</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15.2.22乙方违反本合同约定，导致甲方被指控侵犯他人知识产权的，因此而产生的或与此有关的任何责任最终均由乙方承担，甲方有权就由此发生的所有成本、费用和损失（包括但不限于甲方因此而支付的赔偿金、诉讼费、律师费、调查费等）向乙方追偿。</w:t>
      </w:r>
    </w:p>
    <w:p>
      <w:pPr>
        <w:adjustRightInd w:val="0"/>
        <w:snapToGri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15.2.23违约方同一违约行为承担违约金（或赔偿金）的数额在合同中存有不同约定的，以最高的为准。</w:t>
      </w:r>
      <w:bookmarkEnd w:id="74"/>
    </w:p>
    <w:p>
      <w:pPr>
        <w:widowControl/>
        <w:numPr>
          <w:ilvl w:val="255"/>
          <w:numId w:val="0"/>
        </w:numPr>
        <w:adjustRightInd w:val="0"/>
        <w:snapToGrid w:val="0"/>
        <w:spacing w:line="360" w:lineRule="auto"/>
        <w:ind w:firstLine="422" w:firstLineChars="200"/>
        <w:jc w:val="left"/>
        <w:rPr>
          <w:rFonts w:ascii="宋体" w:hAnsi="宋体" w:eastAsia="宋体" w:cs="Times New Roman"/>
          <w:b/>
          <w:bCs/>
          <w:color w:val="auto"/>
          <w:szCs w:val="21"/>
          <w:highlight w:val="none"/>
        </w:rPr>
      </w:pPr>
      <w:bookmarkStart w:id="75" w:name="_Toc214245340"/>
      <w:bookmarkStart w:id="76" w:name="_Toc319919253"/>
      <w:bookmarkStart w:id="77" w:name="_Toc312912877"/>
      <w:bookmarkStart w:id="78" w:name="_Toc214245360"/>
      <w:bookmarkStart w:id="79" w:name="_Toc311450529"/>
      <w:bookmarkStart w:id="80" w:name="_Toc312913022"/>
      <w:bookmarkStart w:id="81" w:name="_Toc387914515"/>
      <w:bookmarkStart w:id="82" w:name="_Toc311469735"/>
      <w:bookmarkStart w:id="83" w:name="_Toc322695063"/>
      <w:bookmarkStart w:id="84" w:name="_Toc277948891"/>
      <w:bookmarkStart w:id="85" w:name="_Toc410313465"/>
      <w:bookmarkStart w:id="86" w:name="_Toc312674531"/>
      <w:r>
        <w:rPr>
          <w:rFonts w:hint="eastAsia" w:ascii="宋体" w:hAnsi="宋体" w:eastAsia="宋体" w:cs="Times New Roman"/>
          <w:b/>
          <w:bCs/>
          <w:color w:val="auto"/>
          <w:szCs w:val="21"/>
          <w:highlight w:val="none"/>
        </w:rPr>
        <w:t>十六、不可抗力</w:t>
      </w:r>
    </w:p>
    <w:p>
      <w:pPr>
        <w:numPr>
          <w:ilvl w:val="255"/>
          <w:numId w:val="0"/>
        </w:num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16.1不可抗力系指在甲方和乙方合理控制行为外不能合理预见的、经受害方努力不可避免并不能克服的任何事件。例如行政命令、政策法规、罢工、禁运、战争、自然灾害（如洪水或地震，不包括台风）或其他超出协议双方控制的事件等。</w:t>
      </w:r>
    </w:p>
    <w:p>
      <w:pPr>
        <w:numPr>
          <w:ilvl w:val="255"/>
          <w:numId w:val="0"/>
        </w:num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16.2合同各方任何一方如在履行本合同所约定的义务时受到不可抗力事件之阻止、妨碍或拖延，应在此类事件发生之后7天内书面通知本合同其他方，以表述情况及不能全部或部分执行合同的原因。</w:t>
      </w:r>
    </w:p>
    <w:p>
      <w:pPr>
        <w:widowControl/>
        <w:numPr>
          <w:ilvl w:val="255"/>
          <w:numId w:val="0"/>
        </w:num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16.3如有关不可抗力事件继续存在导致履行本合同受到阻止、妨碍或拖延，则受害方可暂时免除其履行或按期履行合同的义务。不可抗力事件结束后，因受不可抗力影响的合同义务的继续履行事宜由各方另行协商。</w:t>
      </w:r>
    </w:p>
    <w:p>
      <w:pPr>
        <w:widowControl/>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16.4</w:t>
      </w:r>
      <w:r>
        <w:rPr>
          <w:rFonts w:hint="eastAsia" w:ascii="宋体" w:hAnsi="宋体" w:eastAsia="宋体" w:cs="宋体"/>
          <w:color w:val="auto"/>
          <w:kern w:val="0"/>
          <w:szCs w:val="21"/>
          <w:highlight w:val="none"/>
        </w:rPr>
        <w:t>不可抗力持续发生的，合同当事人一方应及时向合同当事人另一方提交中间报告，说明不可抗力和履行合同受阻的情况，并于不可抗力事件结束后28天内，向对方提交最终报告及有关资料。</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16.</w:t>
      </w:r>
      <w:r>
        <w:rPr>
          <w:rFonts w:hint="eastAsia" w:ascii="宋体" w:hAnsi="宋体" w:eastAsia="宋体" w:cs="宋体"/>
          <w:color w:val="auto"/>
          <w:kern w:val="0"/>
          <w:szCs w:val="21"/>
          <w:highlight w:val="none"/>
        </w:rPr>
        <w:t>5不可抗力引起的后果及造成的损失，由合同当事人按照法律规定及合同约定各自承担。不可抗力发生前已完成的工程设计工作量，应按工作量所占比例进行设计费用支付。</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16.</w:t>
      </w:r>
      <w:r>
        <w:rPr>
          <w:rFonts w:hint="eastAsia" w:ascii="宋体" w:hAnsi="宋体" w:eastAsia="宋体" w:cs="宋体"/>
          <w:color w:val="auto"/>
          <w:kern w:val="0"/>
          <w:szCs w:val="21"/>
          <w:highlight w:val="none"/>
        </w:rPr>
        <w:t>6 不可抗力发生后，合同当事人均应采取措施尽量避免和减少损失的扩大。任何一方当事人没有采取有效措施导致损失继续扩大的，应对扩大的损失承担责任。</w:t>
      </w:r>
    </w:p>
    <w:p>
      <w:pPr>
        <w:autoSpaceDE w:val="0"/>
        <w:autoSpaceDN w:val="0"/>
        <w:adjustRightInd w:val="0"/>
        <w:snapToGri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16.</w:t>
      </w:r>
      <w:r>
        <w:rPr>
          <w:rFonts w:hint="eastAsia" w:ascii="宋体" w:hAnsi="宋体" w:eastAsia="宋体" w:cs="宋体"/>
          <w:color w:val="auto"/>
          <w:kern w:val="0"/>
          <w:szCs w:val="21"/>
          <w:highlight w:val="none"/>
        </w:rPr>
        <w:t>7 因合同一方迟延履行合同义务，在迟延履行期间遭遇不可抗力的，不免除其违约责任。</w:t>
      </w:r>
    </w:p>
    <w:p>
      <w:pPr>
        <w:autoSpaceDE w:val="0"/>
        <w:autoSpaceDN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16.</w:t>
      </w:r>
      <w:r>
        <w:rPr>
          <w:rFonts w:hint="eastAsia" w:ascii="宋体" w:hAnsi="宋体" w:eastAsia="宋体" w:cs="宋体"/>
          <w:color w:val="auto"/>
          <w:kern w:val="0"/>
          <w:szCs w:val="21"/>
          <w:highlight w:val="none"/>
        </w:rPr>
        <w:t>8由于不可抗力事件使本合同不能继续履行超过90日时，任何一方均可解除本合同，合同已履行部分的款项应予结清。如乙方因不可抗力事件不能继续履行本合同时，甲方有权在乙方已完成的设计及服务的基础上，委托第三方完成剩余的工作。</w:t>
      </w:r>
    </w:p>
    <w:p>
      <w:pPr>
        <w:widowControl/>
        <w:tabs>
          <w:tab w:val="left" w:pos="284"/>
        </w:tabs>
        <w:adjustRightInd w:val="0"/>
        <w:snapToGrid w:val="0"/>
        <w:spacing w:line="360" w:lineRule="auto"/>
        <w:ind w:firstLine="422" w:firstLineChars="200"/>
        <w:outlineLvl w:val="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十七、合同的变更、解除和终止</w:t>
      </w:r>
      <w:bookmarkEnd w:id="75"/>
      <w:bookmarkEnd w:id="76"/>
      <w:bookmarkEnd w:id="77"/>
      <w:bookmarkEnd w:id="78"/>
      <w:bookmarkEnd w:id="79"/>
      <w:bookmarkEnd w:id="80"/>
      <w:bookmarkEnd w:id="81"/>
      <w:bookmarkEnd w:id="82"/>
      <w:bookmarkEnd w:id="83"/>
      <w:bookmarkEnd w:id="84"/>
      <w:bookmarkEnd w:id="85"/>
      <w:bookmarkEnd w:id="86"/>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17.1甲方与乙方协商一致的，可以解除合同。</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 有下列情形之一的，合同当事人一方或双方可以解除合同：</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17.2.1乙方提交的设计文件存在重大质量问题，经甲方催告后，在合理期限内修改后，仍不能满足国家现行设计文件编制深度要求或不能达到合同约定的质量要求的，甲方可以解除合同；</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17.2.2甲方未按合同约定支付设计费用，经乙方催告后，在</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天内仍未支付的，乙方可以解除合同；</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因不可抗力致使合同无法履行；</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因一方违约致使合同无法实际履行，或实际履行已无必要；</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因本工程项目条件发生重大变化，使合同无法继续履行。</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17.3 合同任何一方因故需解除合同时，应提前30天书面通知对方；对合同履行的遗留问题，应取得一致意见并形成书面协议。</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17.4关于合同解除的其他情况：</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17.4.1如</w:t>
      </w:r>
      <w:r>
        <w:rPr>
          <w:rFonts w:hint="eastAsia" w:ascii="宋体" w:hAnsi="宋体" w:eastAsia="宋体" w:cs="宋体"/>
          <w:bCs/>
          <w:color w:val="auto"/>
          <w:kern w:val="0"/>
          <w:szCs w:val="21"/>
          <w:highlight w:val="none"/>
        </w:rPr>
        <w:t>合同履行过程中，出现法定解除合同事由，解除权利人可以书面通知的形式解除合同。</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17.4.2如因为乙方严重违约，导致甲方解除或终止合同，甲方不支付正在进行的设计阶段及后续阶段的设计费，乙方须向甲方支付设计费总额的10%作为违约金。</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17.4.3如甲方严重违约，导致乙方解除或终止合同，甲方支付乙方已完成设计阶段和正在进行阶段的设计费。</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17.4.4如发生非甲、乙双方原因，导致本合同解除或终止，甲方向乙方支付已完成设计阶段的全额设计费，未开始阶段的费用不予支付；对于正在进行的设计阶段则根据实际工作量支付设计费。</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17.4.5如乙方无故解除或终止合同，或以实际行动表示不履行合同，乙方须退还甲方所有已支付的设计费，并向甲方支付设计费总额的20%作为对甲方的赔偿金。</w:t>
      </w:r>
    </w:p>
    <w:p>
      <w:pPr>
        <w:tabs>
          <w:tab w:val="left" w:pos="3800"/>
        </w:tabs>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17.4.6在合同期内，若乙方的工作质量达不到甲方的要求的，累计或连续发生三次以上的，甲方可解除本合同。</w:t>
      </w:r>
    </w:p>
    <w:p>
      <w:pPr>
        <w:tabs>
          <w:tab w:val="left" w:pos="3800"/>
        </w:tabs>
        <w:adjustRightInd w:val="0"/>
        <w:snapToGrid w:val="0"/>
        <w:spacing w:line="360" w:lineRule="auto"/>
        <w:ind w:firstLine="420" w:firstLineChars="200"/>
        <w:rPr>
          <w:rFonts w:ascii="Times New Roman" w:hAnsi="Times New Roman" w:eastAsia="宋体" w:cs="Times New Roman"/>
          <w:color w:val="auto"/>
          <w:szCs w:val="20"/>
          <w:highlight w:val="none"/>
        </w:rPr>
      </w:pPr>
      <w:r>
        <w:rPr>
          <w:rFonts w:hint="eastAsia" w:ascii="宋体" w:hAnsi="宋体" w:eastAsia="宋体" w:cs="宋体"/>
          <w:color w:val="auto"/>
          <w:szCs w:val="21"/>
          <w:highlight w:val="none"/>
        </w:rPr>
        <w:t>17.4.7如甲方因营销周期调整或本项目发生重大变化等其他原因，甲方有权要求乙方暂时停止服务或解除合同。如甲方解除本合同，双方按已完成的下单项结算费用，除此之外，甲方不再承担其他任何责任、赔偿等。以上情况，甲方须提前7日书面通知乙方。</w:t>
      </w:r>
    </w:p>
    <w:p>
      <w:pPr>
        <w:numPr>
          <w:ilvl w:val="255"/>
          <w:numId w:val="0"/>
        </w:numPr>
        <w:tabs>
          <w:tab w:val="left" w:pos="1060"/>
        </w:tabs>
        <w:adjustRightInd w:val="0"/>
        <w:snapToGrid w:val="0"/>
        <w:spacing w:line="360" w:lineRule="auto"/>
        <w:ind w:firstLine="420" w:firstLineChars="200"/>
        <w:rPr>
          <w:rFonts w:ascii="宋体" w:hAnsi="宋体" w:eastAsia="宋体" w:cs="宋体"/>
          <w:color w:val="auto"/>
          <w:kern w:val="28"/>
          <w:szCs w:val="21"/>
          <w:highlight w:val="none"/>
        </w:rPr>
      </w:pPr>
      <w:bookmarkStart w:id="87" w:name="_Toc410313466"/>
      <w:bookmarkStart w:id="88" w:name="_Toc311469736"/>
      <w:bookmarkStart w:id="89" w:name="_Toc312674532"/>
      <w:bookmarkStart w:id="90" w:name="_Toc312912878"/>
      <w:bookmarkStart w:id="91" w:name="_Toc322695064"/>
      <w:bookmarkStart w:id="92" w:name="_Toc214245361"/>
      <w:bookmarkStart w:id="93" w:name="_Toc387914523"/>
      <w:bookmarkStart w:id="94" w:name="_Toc277948892"/>
      <w:bookmarkStart w:id="95" w:name="_Toc311450530"/>
      <w:bookmarkStart w:id="96" w:name="_Toc214245341"/>
      <w:bookmarkStart w:id="97" w:name="_Toc312913023"/>
      <w:bookmarkStart w:id="98" w:name="_Toc319919254"/>
      <w:r>
        <w:rPr>
          <w:rFonts w:hint="eastAsia" w:ascii="宋体" w:hAnsi="宋体" w:eastAsia="宋体" w:cs="宋体"/>
          <w:color w:val="auto"/>
          <w:kern w:val="28"/>
          <w:szCs w:val="21"/>
          <w:highlight w:val="none"/>
        </w:rPr>
        <w:t>17.4.8无正当充分的理由且未经甲方同意，乙方未能在合同规定的时间内完成设计任务，单阶段误期累计超过二十个日历天（不包括甲方同意延长的时间以及因甲方原因造成的误期）的。</w:t>
      </w:r>
    </w:p>
    <w:p>
      <w:pPr>
        <w:tabs>
          <w:tab w:val="left" w:pos="3800"/>
        </w:tabs>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17.4.9乙方违反本合同其它约定的，经甲方书面通知限期改正或履行，而期满仍未改正或履行的，甲方有权解除本合同。</w:t>
      </w:r>
    </w:p>
    <w:p>
      <w:pPr>
        <w:tabs>
          <w:tab w:val="left" w:pos="3800"/>
        </w:tabs>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17.4.10合同期内，如因乙方原因造成甲方损失或损害甲方商誉的，甲方有权解除本合同。</w:t>
      </w:r>
    </w:p>
    <w:p>
      <w:pPr>
        <w:tabs>
          <w:tab w:val="left" w:pos="3800"/>
        </w:tabs>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17.5本合同执行中，如遇到不可抗拒力因素影响，导致合同无法执行或部分执行，双方都不承担责任。（比如：自然灾害、暴力事件、国家政策等因素）。</w:t>
      </w:r>
    </w:p>
    <w:p>
      <w:pPr>
        <w:adjustRightInd w:val="0"/>
        <w:snapToGrid w:val="0"/>
        <w:spacing w:line="360" w:lineRule="auto"/>
        <w:ind w:firstLine="422" w:firstLineChars="200"/>
        <w:jc w:val="left"/>
        <w:outlineLvl w:val="0"/>
        <w:rPr>
          <w:rFonts w:ascii="宋体" w:hAnsi="宋体" w:eastAsia="宋体" w:cs="宋体"/>
          <w:b/>
          <w:color w:val="auto"/>
          <w:szCs w:val="21"/>
          <w:highlight w:val="none"/>
        </w:rPr>
      </w:pPr>
      <w:r>
        <w:rPr>
          <w:rFonts w:hint="eastAsia" w:ascii="宋体" w:hAnsi="宋体" w:eastAsia="宋体" w:cs="宋体"/>
          <w:b/>
          <w:color w:val="auto"/>
          <w:szCs w:val="21"/>
          <w:highlight w:val="none"/>
        </w:rPr>
        <w:t>十八、利益的冲突</w:t>
      </w:r>
    </w:p>
    <w:p>
      <w:pPr>
        <w:keepNext/>
        <w:keepLines/>
        <w:adjustRightInd w:val="0"/>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18.1 除非甲方另外书面同意，乙方及其职员不应获得也不应接受合同规定以外的与项目有关的利益和合同款。</w:t>
      </w:r>
    </w:p>
    <w:p>
      <w:pPr>
        <w:keepNext/>
        <w:keepLines/>
        <w:adjustRightInd w:val="0"/>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18.2 乙方不得参与可能与合同中规定的甲方的利益相冲突的任何活动。</w:t>
      </w:r>
    </w:p>
    <w:bookmarkEnd w:id="87"/>
    <w:bookmarkEnd w:id="88"/>
    <w:bookmarkEnd w:id="89"/>
    <w:bookmarkEnd w:id="90"/>
    <w:bookmarkEnd w:id="91"/>
    <w:bookmarkEnd w:id="92"/>
    <w:bookmarkEnd w:id="93"/>
    <w:bookmarkEnd w:id="94"/>
    <w:bookmarkEnd w:id="95"/>
    <w:bookmarkEnd w:id="96"/>
    <w:bookmarkEnd w:id="97"/>
    <w:bookmarkEnd w:id="98"/>
    <w:p>
      <w:pPr>
        <w:widowControl/>
        <w:numPr>
          <w:ilvl w:val="255"/>
          <w:numId w:val="0"/>
        </w:numPr>
        <w:tabs>
          <w:tab w:val="left" w:pos="284"/>
        </w:tabs>
        <w:adjustRightInd w:val="0"/>
        <w:snapToGrid w:val="0"/>
        <w:spacing w:line="360" w:lineRule="auto"/>
        <w:ind w:firstLine="422" w:firstLineChars="200"/>
        <w:outlineLvl w:val="0"/>
        <w:rPr>
          <w:rFonts w:ascii="宋体" w:hAnsi="宋体" w:eastAsia="宋体" w:cs="宋体"/>
          <w:b/>
          <w:bCs/>
          <w:color w:val="auto"/>
          <w:kern w:val="28"/>
          <w:szCs w:val="21"/>
          <w:highlight w:val="none"/>
        </w:rPr>
      </w:pPr>
      <w:bookmarkStart w:id="99" w:name="_Toc319919255"/>
      <w:bookmarkStart w:id="100" w:name="_Toc387914526"/>
      <w:bookmarkStart w:id="101" w:name="_Toc311450531"/>
      <w:bookmarkStart w:id="102" w:name="_Toc312674533"/>
      <w:bookmarkStart w:id="103" w:name="_Toc214245362"/>
      <w:bookmarkStart w:id="104" w:name="_Toc312913024"/>
      <w:bookmarkStart w:id="105" w:name="_Toc312912879"/>
      <w:bookmarkStart w:id="106" w:name="_Toc322695065"/>
      <w:bookmarkStart w:id="107" w:name="_Toc311469737"/>
      <w:bookmarkStart w:id="108" w:name="_Toc277948893"/>
      <w:bookmarkStart w:id="109" w:name="_Toc410313467"/>
      <w:bookmarkStart w:id="110" w:name="_Toc214245342"/>
      <w:r>
        <w:rPr>
          <w:rFonts w:hint="eastAsia" w:ascii="宋体" w:hAnsi="宋体" w:eastAsia="宋体" w:cs="宋体"/>
          <w:b/>
          <w:bCs/>
          <w:color w:val="auto"/>
          <w:kern w:val="28"/>
          <w:szCs w:val="21"/>
          <w:highlight w:val="none"/>
        </w:rPr>
        <w:t>十九、争议的解决</w:t>
      </w:r>
      <w:bookmarkEnd w:id="99"/>
      <w:bookmarkEnd w:id="100"/>
      <w:bookmarkEnd w:id="101"/>
      <w:bookmarkEnd w:id="102"/>
      <w:bookmarkEnd w:id="103"/>
      <w:bookmarkEnd w:id="104"/>
      <w:bookmarkEnd w:id="105"/>
      <w:bookmarkEnd w:id="106"/>
      <w:bookmarkEnd w:id="107"/>
      <w:bookmarkEnd w:id="108"/>
      <w:bookmarkEnd w:id="109"/>
      <w:bookmarkEnd w:id="110"/>
    </w:p>
    <w:p>
      <w:pPr>
        <w:widowControl/>
        <w:numPr>
          <w:ilvl w:val="255"/>
          <w:numId w:val="0"/>
        </w:numPr>
        <w:adjustRightInd w:val="0"/>
        <w:snapToGrid w:val="0"/>
        <w:spacing w:line="360" w:lineRule="auto"/>
        <w:ind w:firstLine="420" w:firstLineChars="200"/>
        <w:jc w:val="left"/>
        <w:rPr>
          <w:rFonts w:ascii="宋体" w:hAnsi="宋体" w:eastAsia="宋体" w:cs="宋体"/>
          <w:bCs/>
          <w:color w:val="auto"/>
          <w:kern w:val="28"/>
          <w:szCs w:val="21"/>
          <w:highlight w:val="none"/>
        </w:rPr>
      </w:pPr>
      <w:r>
        <w:rPr>
          <w:rFonts w:hint="eastAsia" w:ascii="宋体" w:hAnsi="宋体" w:eastAsia="宋体" w:cs="宋体"/>
          <w:bCs/>
          <w:color w:val="auto"/>
          <w:kern w:val="28"/>
          <w:szCs w:val="21"/>
          <w:highlight w:val="none"/>
        </w:rPr>
        <w:t>19.1凡因本协议引起的或与本协议有关的任何争议，双方应先行协商解决；协商不成的，双方同意提交项目所在地法院诉讼解决</w:t>
      </w:r>
      <w:bookmarkStart w:id="111" w:name="_Toc214245363"/>
      <w:bookmarkStart w:id="112" w:name="_Toc277948894"/>
      <w:bookmarkStart w:id="113" w:name="_Toc319919256"/>
      <w:bookmarkStart w:id="114" w:name="_Toc322695066"/>
      <w:bookmarkStart w:id="115" w:name="_Toc311469738"/>
      <w:bookmarkStart w:id="116" w:name="_Toc311450532"/>
      <w:bookmarkStart w:id="117" w:name="_Toc312674534"/>
      <w:bookmarkStart w:id="118" w:name="_Toc410313468"/>
      <w:bookmarkStart w:id="119" w:name="_Toc312913025"/>
      <w:bookmarkStart w:id="120" w:name="_Toc387914529"/>
      <w:bookmarkStart w:id="121" w:name="_Toc312912880"/>
      <w:bookmarkStart w:id="122" w:name="_Toc214245343"/>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19.2本合同在履行过程中发生的争议，由双方当事人协商解决，协商不成的，按下列第（二）种方式解决：</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（一）提交仲裁委员会仲裁；</w:t>
      </w:r>
    </w:p>
    <w:p>
      <w:pPr>
        <w:adjustRightInd w:val="0"/>
        <w:snapToGrid w:val="0"/>
        <w:spacing w:line="360" w:lineRule="auto"/>
        <w:ind w:firstLine="420" w:firstLineChars="200"/>
        <w:rPr>
          <w:rFonts w:ascii="宋体" w:hAnsi="宋体" w:eastAsia="宋体" w:cs="宋体"/>
          <w:bCs/>
          <w:color w:val="auto"/>
          <w:kern w:val="28"/>
          <w:szCs w:val="21"/>
          <w:highlight w:val="none"/>
        </w:rPr>
      </w:pPr>
      <w:r>
        <w:rPr>
          <w:rFonts w:hint="eastAsia" w:ascii="宋体" w:hAnsi="宋体" w:eastAsia="宋体" w:cs="宋体"/>
          <w:color w:val="auto"/>
          <w:szCs w:val="21"/>
          <w:highlight w:val="none"/>
        </w:rPr>
        <w:t>（二）依法向甲方所在地人民法院起诉。</w:t>
      </w:r>
    </w:p>
    <w:p>
      <w:pPr>
        <w:widowControl/>
        <w:numPr>
          <w:ilvl w:val="255"/>
          <w:numId w:val="0"/>
        </w:numPr>
        <w:adjustRightInd w:val="0"/>
        <w:snapToGrid w:val="0"/>
        <w:spacing w:line="360" w:lineRule="auto"/>
        <w:ind w:firstLine="420" w:firstLineChars="200"/>
        <w:jc w:val="left"/>
        <w:outlineLvl w:val="0"/>
        <w:rPr>
          <w:rFonts w:ascii="宋体" w:hAnsi="宋体" w:eastAsia="宋体" w:cs="宋体"/>
          <w:b/>
          <w:color w:val="auto"/>
          <w:kern w:val="28"/>
          <w:szCs w:val="21"/>
          <w:highlight w:val="none"/>
        </w:rPr>
      </w:pPr>
      <w:r>
        <w:rPr>
          <w:rFonts w:hint="eastAsia" w:ascii="宋体" w:hAnsi="宋体" w:eastAsia="宋体" w:cs="宋体"/>
          <w:bCs/>
          <w:color w:val="auto"/>
          <w:kern w:val="28"/>
          <w:szCs w:val="21"/>
          <w:highlight w:val="none"/>
        </w:rPr>
        <w:t>二十、</w:t>
      </w:r>
      <w:r>
        <w:rPr>
          <w:rFonts w:hint="eastAsia" w:ascii="宋体" w:hAnsi="宋体" w:eastAsia="宋体" w:cs="宋体"/>
          <w:b/>
          <w:bCs/>
          <w:color w:val="auto"/>
          <w:kern w:val="28"/>
          <w:szCs w:val="21"/>
          <w:highlight w:val="none"/>
        </w:rPr>
        <w:t>通知</w:t>
      </w:r>
      <w:bookmarkEnd w:id="111"/>
      <w:bookmarkEnd w:id="112"/>
      <w:bookmarkEnd w:id="113"/>
      <w:bookmarkEnd w:id="114"/>
      <w:bookmarkEnd w:id="115"/>
      <w:bookmarkEnd w:id="116"/>
      <w:bookmarkEnd w:id="117"/>
      <w:bookmarkEnd w:id="118"/>
      <w:bookmarkEnd w:id="119"/>
      <w:bookmarkEnd w:id="120"/>
      <w:bookmarkEnd w:id="121"/>
      <w:bookmarkEnd w:id="122"/>
    </w:p>
    <w:p>
      <w:pPr>
        <w:numPr>
          <w:ilvl w:val="255"/>
          <w:numId w:val="0"/>
        </w:numPr>
        <w:adjustRightInd w:val="0"/>
        <w:snapToGrid w:val="0"/>
        <w:spacing w:line="360" w:lineRule="auto"/>
        <w:ind w:firstLine="420" w:firstLineChars="200"/>
        <w:rPr>
          <w:rFonts w:ascii="宋体" w:hAnsi="宋体" w:eastAsia="宋体" w:cs="宋体"/>
          <w:bCs/>
          <w:color w:val="auto"/>
          <w:kern w:val="28"/>
          <w:szCs w:val="21"/>
          <w:highlight w:val="none"/>
        </w:rPr>
      </w:pPr>
      <w:bookmarkStart w:id="123" w:name="_Toc387914531"/>
      <w:bookmarkStart w:id="124" w:name="_Toc387914334"/>
      <w:bookmarkStart w:id="125" w:name="_Toc386646554"/>
      <w:r>
        <w:rPr>
          <w:rFonts w:hint="eastAsia" w:ascii="宋体" w:hAnsi="宋体" w:eastAsia="宋体" w:cs="宋体"/>
          <w:bCs/>
          <w:color w:val="auto"/>
          <w:kern w:val="28"/>
          <w:szCs w:val="21"/>
          <w:highlight w:val="none"/>
        </w:rPr>
        <w:t>20.1本合同项下发出的通知、要求或其他通讯，在下述情况应被视为已经有效送达：</w:t>
      </w:r>
      <w:bookmarkEnd w:id="123"/>
      <w:bookmarkEnd w:id="124"/>
      <w:bookmarkEnd w:id="125"/>
    </w:p>
    <w:p>
      <w:pPr>
        <w:numPr>
          <w:ilvl w:val="255"/>
          <w:numId w:val="0"/>
        </w:numPr>
        <w:adjustRightInd w:val="0"/>
        <w:snapToGrid w:val="0"/>
        <w:spacing w:line="360" w:lineRule="auto"/>
        <w:ind w:firstLine="420" w:firstLineChars="200"/>
        <w:rPr>
          <w:rFonts w:ascii="宋体" w:hAnsi="宋体" w:eastAsia="宋体" w:cs="宋体"/>
          <w:bCs/>
          <w:color w:val="auto"/>
          <w:kern w:val="28"/>
          <w:szCs w:val="21"/>
          <w:highlight w:val="none"/>
        </w:rPr>
      </w:pPr>
      <w:bookmarkStart w:id="126" w:name="_Toc387914532"/>
      <w:bookmarkStart w:id="127" w:name="_Toc386646555"/>
      <w:bookmarkStart w:id="128" w:name="_Toc387914335"/>
      <w:r>
        <w:rPr>
          <w:rFonts w:hint="eastAsia" w:ascii="宋体" w:hAnsi="宋体" w:eastAsia="宋体" w:cs="宋体"/>
          <w:bCs/>
          <w:color w:val="auto"/>
          <w:kern w:val="28"/>
          <w:szCs w:val="21"/>
          <w:highlight w:val="none"/>
        </w:rPr>
        <w:t>20.2若由专人递交，在递交时即为送达；</w:t>
      </w:r>
      <w:bookmarkEnd w:id="126"/>
      <w:bookmarkEnd w:id="127"/>
      <w:bookmarkEnd w:id="128"/>
    </w:p>
    <w:p>
      <w:pPr>
        <w:numPr>
          <w:ilvl w:val="255"/>
          <w:numId w:val="0"/>
        </w:numPr>
        <w:adjustRightInd w:val="0"/>
        <w:snapToGrid w:val="0"/>
        <w:spacing w:line="360" w:lineRule="auto"/>
        <w:ind w:firstLine="420" w:firstLineChars="200"/>
        <w:rPr>
          <w:rFonts w:ascii="宋体" w:hAnsi="宋体" w:eastAsia="宋体" w:cs="宋体"/>
          <w:bCs/>
          <w:color w:val="auto"/>
          <w:kern w:val="28"/>
          <w:szCs w:val="21"/>
          <w:highlight w:val="none"/>
        </w:rPr>
      </w:pPr>
      <w:bookmarkStart w:id="129" w:name="_Toc386646556"/>
      <w:bookmarkStart w:id="130" w:name="_Toc387914533"/>
      <w:bookmarkStart w:id="131" w:name="_Toc387914336"/>
      <w:r>
        <w:rPr>
          <w:rFonts w:hint="eastAsia" w:ascii="宋体" w:hAnsi="宋体" w:eastAsia="宋体" w:cs="宋体"/>
          <w:bCs/>
          <w:color w:val="auto"/>
          <w:kern w:val="28"/>
          <w:szCs w:val="21"/>
          <w:highlight w:val="none"/>
        </w:rPr>
        <w:t>20.3若用书信发出，收件人在挂号回执或签收凭证上签字即为送达；</w:t>
      </w:r>
      <w:bookmarkEnd w:id="129"/>
      <w:bookmarkEnd w:id="130"/>
      <w:bookmarkEnd w:id="131"/>
    </w:p>
    <w:p>
      <w:pPr>
        <w:numPr>
          <w:ilvl w:val="255"/>
          <w:numId w:val="0"/>
        </w:numPr>
        <w:adjustRightInd w:val="0"/>
        <w:snapToGrid w:val="0"/>
        <w:spacing w:line="360" w:lineRule="auto"/>
        <w:ind w:firstLine="420" w:firstLineChars="200"/>
        <w:rPr>
          <w:rFonts w:ascii="宋体" w:hAnsi="宋体" w:eastAsia="宋体" w:cs="宋体"/>
          <w:bCs/>
          <w:color w:val="auto"/>
          <w:kern w:val="28"/>
          <w:szCs w:val="21"/>
          <w:highlight w:val="none"/>
        </w:rPr>
      </w:pPr>
      <w:bookmarkStart w:id="132" w:name="_Toc387914534"/>
      <w:bookmarkStart w:id="133" w:name="_Toc387914337"/>
      <w:bookmarkStart w:id="134" w:name="_Toc386646557"/>
      <w:r>
        <w:rPr>
          <w:rFonts w:hint="eastAsia" w:ascii="宋体" w:hAnsi="宋体" w:eastAsia="宋体" w:cs="宋体"/>
          <w:bCs/>
          <w:color w:val="auto"/>
          <w:kern w:val="28"/>
          <w:szCs w:val="21"/>
          <w:highlight w:val="none"/>
        </w:rPr>
        <w:t>20.4若用传真或电传发出，则在发送后即为送达。</w:t>
      </w:r>
      <w:bookmarkEnd w:id="132"/>
      <w:bookmarkEnd w:id="133"/>
      <w:bookmarkEnd w:id="134"/>
    </w:p>
    <w:p>
      <w:pPr>
        <w:numPr>
          <w:ilvl w:val="255"/>
          <w:numId w:val="0"/>
        </w:numPr>
        <w:adjustRightInd w:val="0"/>
        <w:snapToGrid w:val="0"/>
        <w:spacing w:line="360" w:lineRule="auto"/>
        <w:ind w:firstLine="420" w:firstLineChars="200"/>
        <w:rPr>
          <w:rFonts w:ascii="宋体" w:hAnsi="宋体" w:eastAsia="宋体" w:cs="宋体"/>
          <w:bCs/>
          <w:color w:val="auto"/>
          <w:kern w:val="28"/>
          <w:szCs w:val="21"/>
          <w:highlight w:val="none"/>
        </w:rPr>
      </w:pPr>
      <w:bookmarkStart w:id="135" w:name="_Toc387914338"/>
      <w:bookmarkStart w:id="136" w:name="_Toc387914535"/>
      <w:bookmarkStart w:id="137" w:name="_Toc386646558"/>
      <w:r>
        <w:rPr>
          <w:rFonts w:hint="eastAsia" w:ascii="宋体" w:hAnsi="宋体" w:eastAsia="宋体" w:cs="宋体"/>
          <w:bCs/>
          <w:color w:val="auto"/>
          <w:kern w:val="28"/>
          <w:szCs w:val="21"/>
          <w:highlight w:val="none"/>
        </w:rPr>
        <w:t>20.5任何一方的联系信息有变更的，应及时书面通知合同各方，否则一方按原联系信息向其他方发出的书面文件仍视为送达。</w:t>
      </w:r>
      <w:bookmarkEnd w:id="135"/>
      <w:bookmarkEnd w:id="136"/>
      <w:bookmarkEnd w:id="137"/>
    </w:p>
    <w:p>
      <w:pPr>
        <w:widowControl/>
        <w:tabs>
          <w:tab w:val="left" w:pos="284"/>
        </w:tabs>
        <w:adjustRightInd w:val="0"/>
        <w:snapToGrid w:val="0"/>
        <w:spacing w:line="360" w:lineRule="auto"/>
        <w:ind w:firstLine="422" w:firstLineChars="200"/>
        <w:outlineLvl w:val="0"/>
        <w:rPr>
          <w:rFonts w:ascii="宋体" w:hAnsi="宋体" w:eastAsia="宋体" w:cs="宋体"/>
          <w:b/>
          <w:color w:val="auto"/>
          <w:kern w:val="28"/>
          <w:szCs w:val="21"/>
          <w:highlight w:val="none"/>
        </w:rPr>
      </w:pPr>
      <w:bookmarkStart w:id="138" w:name="_Toc312912881"/>
      <w:bookmarkStart w:id="139" w:name="_Toc214245344"/>
      <w:bookmarkStart w:id="140" w:name="_Toc387914536"/>
      <w:bookmarkStart w:id="141" w:name="_Toc312674535"/>
      <w:bookmarkStart w:id="142" w:name="_Toc311469739"/>
      <w:bookmarkStart w:id="143" w:name="_Toc214245364"/>
      <w:bookmarkStart w:id="144" w:name="_Toc312913026"/>
      <w:bookmarkStart w:id="145" w:name="_Toc319919257"/>
      <w:bookmarkStart w:id="146" w:name="_Toc311450533"/>
      <w:bookmarkStart w:id="147" w:name="_Toc322695067"/>
      <w:bookmarkStart w:id="148" w:name="_Toc410313469"/>
      <w:bookmarkStart w:id="149" w:name="_Toc277948895"/>
      <w:r>
        <w:rPr>
          <w:rFonts w:hint="eastAsia" w:ascii="宋体" w:hAnsi="宋体" w:eastAsia="宋体" w:cs="宋体"/>
          <w:b/>
          <w:bCs/>
          <w:color w:val="auto"/>
          <w:kern w:val="28"/>
          <w:szCs w:val="21"/>
          <w:highlight w:val="none"/>
        </w:rPr>
        <w:t>二十一、合同的生效及其他</w:t>
      </w:r>
      <w:bookmarkEnd w:id="138"/>
      <w:bookmarkEnd w:id="139"/>
      <w:bookmarkEnd w:id="140"/>
      <w:bookmarkEnd w:id="141"/>
      <w:bookmarkEnd w:id="142"/>
      <w:bookmarkEnd w:id="143"/>
      <w:bookmarkEnd w:id="144"/>
      <w:bookmarkEnd w:id="145"/>
      <w:bookmarkEnd w:id="146"/>
      <w:bookmarkEnd w:id="147"/>
      <w:bookmarkEnd w:id="148"/>
      <w:bookmarkEnd w:id="149"/>
    </w:p>
    <w:p>
      <w:pPr>
        <w:numPr>
          <w:ilvl w:val="255"/>
          <w:numId w:val="0"/>
        </w:numPr>
        <w:adjustRightInd w:val="0"/>
        <w:snapToGrid w:val="0"/>
        <w:spacing w:line="360" w:lineRule="auto"/>
        <w:ind w:firstLine="420" w:firstLineChars="200"/>
        <w:rPr>
          <w:rFonts w:ascii="宋体" w:hAnsi="宋体" w:eastAsia="宋体" w:cs="宋体"/>
          <w:bCs/>
          <w:color w:val="auto"/>
          <w:kern w:val="28"/>
          <w:szCs w:val="21"/>
          <w:highlight w:val="none"/>
        </w:rPr>
      </w:pPr>
      <w:bookmarkStart w:id="150" w:name="_Toc386646560"/>
      <w:bookmarkStart w:id="151" w:name="_Toc387914340"/>
      <w:bookmarkStart w:id="152" w:name="_Toc387914537"/>
      <w:r>
        <w:rPr>
          <w:rFonts w:hint="eastAsia" w:ascii="宋体" w:hAnsi="宋体" w:eastAsia="宋体" w:cs="宋体"/>
          <w:bCs/>
          <w:color w:val="auto"/>
          <w:kern w:val="28"/>
          <w:szCs w:val="21"/>
          <w:highlight w:val="none"/>
        </w:rPr>
        <w:t>21.1本合同经双方的法定代表人或者委托代理人签字并盖章之日即生效。</w:t>
      </w:r>
      <w:bookmarkEnd w:id="150"/>
      <w:bookmarkEnd w:id="151"/>
      <w:bookmarkEnd w:id="152"/>
    </w:p>
    <w:p>
      <w:pPr>
        <w:numPr>
          <w:ilvl w:val="255"/>
          <w:numId w:val="0"/>
        </w:numPr>
        <w:adjustRightInd w:val="0"/>
        <w:snapToGrid w:val="0"/>
        <w:spacing w:line="360" w:lineRule="auto"/>
        <w:ind w:firstLine="420" w:firstLineChars="200"/>
        <w:rPr>
          <w:rFonts w:ascii="宋体" w:hAnsi="宋体" w:eastAsia="宋体" w:cs="宋体"/>
          <w:bCs/>
          <w:color w:val="auto"/>
          <w:kern w:val="28"/>
          <w:szCs w:val="21"/>
          <w:highlight w:val="none"/>
        </w:rPr>
      </w:pPr>
      <w:bookmarkStart w:id="153" w:name="_Toc387914538"/>
      <w:bookmarkStart w:id="154" w:name="_Toc387914341"/>
      <w:bookmarkStart w:id="155" w:name="_Toc386646561"/>
      <w:r>
        <w:rPr>
          <w:rFonts w:hint="eastAsia" w:ascii="宋体" w:hAnsi="宋体" w:eastAsia="宋体" w:cs="宋体"/>
          <w:bCs/>
          <w:color w:val="auto"/>
          <w:kern w:val="28"/>
          <w:szCs w:val="21"/>
          <w:highlight w:val="none"/>
        </w:rPr>
        <w:t>21.2本合同订立生效后，先前的谈判内容、陈述以及双方签订的意向书、备忘录及其他相关文件如与本合同不符的，均以本合同为准。如需对本合同进行修改或补充，则须经合同各方商议，另行签署书面文件，另行签署的书面文件为本合同不可分割的组成部分，与本合同具有同等效力。</w:t>
      </w:r>
      <w:bookmarkEnd w:id="153"/>
      <w:bookmarkEnd w:id="154"/>
      <w:bookmarkEnd w:id="155"/>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21.3本工程设计资料及文件，应当注明其规格、型号、性能等详细技术指标，乙方不得指定生产厂、供应商，乙方不得选用唯一性材料，应保证供应材料的货源充沛可选择。</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21.4甲方委托乙方承担本合同内容之外的工作服务，另行支付费用。</w:t>
      </w:r>
    </w:p>
    <w:p>
      <w:pPr>
        <w:adjustRightInd w:val="0"/>
        <w:snapToGrid w:val="0"/>
        <w:spacing w:line="360" w:lineRule="auto"/>
        <w:ind w:firstLine="420" w:firstLineChars="200"/>
        <w:jc w:val="left"/>
        <w:rPr>
          <w:rFonts w:ascii="宋体" w:hAnsi="宋体" w:eastAsia="宋体" w:cs="宋体"/>
          <w:bCs/>
          <w:color w:val="auto"/>
          <w:kern w:val="28"/>
          <w:szCs w:val="21"/>
          <w:highlight w:val="none"/>
        </w:rPr>
      </w:pPr>
      <w:r>
        <w:rPr>
          <w:rFonts w:hint="eastAsia" w:ascii="宋体" w:hAnsi="宋体" w:eastAsia="宋体" w:cs="宋体"/>
          <w:color w:val="auto"/>
          <w:szCs w:val="21"/>
          <w:highlight w:val="none"/>
        </w:rPr>
        <w:t>21.5本合同未尽事宜，双方可签订补充协议，有关协议及双方认可的来往电报、传会议纪要等，均为本合同组成部分。</w:t>
      </w:r>
    </w:p>
    <w:p>
      <w:pPr>
        <w:widowControl/>
        <w:adjustRightInd w:val="0"/>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21.6本合同未尽事宜，合同当事人另行签订补充协议。</w:t>
      </w:r>
    </w:p>
    <w:p>
      <w:pPr>
        <w:widowControl/>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21.7</w:t>
      </w:r>
      <w:r>
        <w:rPr>
          <w:rFonts w:hint="eastAsia" w:ascii="宋体" w:hAnsi="宋体" w:eastAsia="宋体" w:cs="宋体"/>
          <w:color w:val="auto"/>
          <w:szCs w:val="21"/>
          <w:highlight w:val="none"/>
        </w:rPr>
        <w:t>本合同一式壹拾份，甲乙双方各执伍份，均具有同等法律效力。</w:t>
      </w:r>
    </w:p>
    <w:p>
      <w:pPr>
        <w:widowControl/>
        <w:adjustRightInd w:val="0"/>
        <w:snapToGrid w:val="0"/>
        <w:spacing w:line="360" w:lineRule="auto"/>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二十二、合同附件</w:t>
      </w:r>
    </w:p>
    <w:p>
      <w:pPr>
        <w:widowControl/>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附件1：廉洁从业协议</w:t>
      </w:r>
    </w:p>
    <w:p>
      <w:pPr>
        <w:widowControl/>
        <w:adjustRightInd w:val="0"/>
        <w:snapToGrid w:val="0"/>
        <w:spacing w:line="360" w:lineRule="auto"/>
        <w:ind w:firstLine="420" w:firstLineChars="200"/>
        <w:jc w:val="left"/>
        <w:rPr>
          <w:rFonts w:ascii="宋体" w:hAnsi="宋体" w:eastAsia="宋体" w:cs="宋体"/>
          <w:color w:val="auto"/>
          <w:szCs w:val="21"/>
          <w:highlight w:val="none"/>
          <w:lang w:bidi="zh-CN"/>
        </w:rPr>
      </w:pPr>
      <w:r>
        <w:rPr>
          <w:rFonts w:hint="eastAsia" w:ascii="宋体" w:hAnsi="宋体" w:eastAsia="宋体" w:cs="宋体"/>
          <w:color w:val="auto"/>
          <w:szCs w:val="21"/>
          <w:highlight w:val="none"/>
        </w:rPr>
        <w:t>附件2：履约评价管理办法</w:t>
      </w:r>
    </w:p>
    <w:p>
      <w:pPr>
        <w:widowControl/>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附件3：项目投入乙方</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员安排表</w:t>
      </w:r>
    </w:p>
    <w:p>
      <w:pPr>
        <w:widowControl/>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附件4：投标报价表</w:t>
      </w:r>
    </w:p>
    <w:p>
      <w:pPr>
        <w:adjustRightInd w:val="0"/>
        <w:snapToGrid w:val="0"/>
        <w:spacing w:line="360" w:lineRule="auto"/>
        <w:ind w:firstLine="420" w:firstLineChars="200"/>
        <w:rPr>
          <w:rFonts w:ascii="宋体" w:hAnsi="宋体" w:eastAsia="宋体" w:cs="宋体"/>
          <w:color w:val="auto"/>
          <w:szCs w:val="21"/>
          <w:highlight w:val="none"/>
        </w:rPr>
      </w:pPr>
    </w:p>
    <w:p>
      <w:pPr>
        <w:spacing w:after="120"/>
        <w:rPr>
          <w:rFonts w:ascii="Times New Roman" w:hAnsi="Times New Roman" w:eastAsia="宋体" w:cs="Times New Roman"/>
          <w:color w:val="auto"/>
          <w:szCs w:val="20"/>
          <w:highlight w:val="none"/>
        </w:rPr>
      </w:pPr>
    </w:p>
    <w:p>
      <w:pPr>
        <w:rPr>
          <w:rFonts w:ascii="宋体" w:hAnsi="宋体" w:eastAsia="宋体" w:cs="宋体"/>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rPr>
        <w:br w:type="page"/>
      </w:r>
    </w:p>
    <w:p>
      <w:pPr>
        <w:keepNext/>
        <w:keepLines/>
        <w:spacing w:line="360" w:lineRule="auto"/>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附件1 廉洁从业协议</w:t>
      </w:r>
    </w:p>
    <w:p>
      <w:pPr>
        <w:spacing w:after="12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廉洁从业协议</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工程建设中廉洁诚信从业，规范本工程合同当事人双方有关活动，防止发生各种谋取不正当利益等违法违规违纪行为，保护国家、集体和合同当事人的合法权益，根据国家工程建设有关法律法规和廉政建设责任制规定，本工程甲方(也称甲方)与乙方(也称乙方)，特订立廉洁从业协议。</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第一条甲乙双方的权利和义务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 应严格遵守国家关于市场准入、项目招标投标、工程建设、设计和市场活动的有关法律、法规和相关政策，以及廉政建设、廉洁从业的各项规定。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(二)严格执行本工程合同文件，自觉按合同办事。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(三)双方的业务活动开展，应坚持公开、公正、诚信、透明(除法律认定的商业秘密和合同文件另有规定之外)的原则，不得损害国家和集体利益，不得违反工程建设管理、设计的规章制度。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(四)发现对方在业务活动中有违反廉政规定的行为，均有及时提醒对方纠正的权利和义务。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(五)发现对方严重违反本协议义务条款的行为，均有向其上级部门举报、建议给予处理并要求告知处理结果的权利。</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第二条甲方的义务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(一)不准向乙方和相关单位索要或接受回扣、礼金、有价证券、贵重物品和好处费、感谢费等。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(二)不准在乙方和相关单位报销任何应由甲方或个人支付的费用。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(三)不准要求、暗示或接受乙方和相关单位为个人装修住房、婚丧嫁娶、配偶子女的工作安排以及出国(境)、旅游等提供方便。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(四)不准参加有可能影响公正执行公务的乙方和相关单位的宴请、健身、娱乐等活动。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(五)不准向乙方和相关单位介绍或为配偶、子女、亲属参与同甲方项目工程设计合同有关的设计业务等活动。不得以任何理由要求乙方和相关单位在设计中使用某种产品、材料和设备。</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第三条乙方的义务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应与甲方保持正常的业务交往，按照有关法律法规和程序开展业务工作，严格执行工程建设的有关方针、政策，尤其是有关设计强制性标准，并遵守以下规定：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(一)不准以任何理由，向甲方及其工作人员索要、接受或赠送礼金、有价证券、贵重物品及回扣、好处费、感谢费等。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(二)不准以任何理由，为甲方和相关单位报销应由对方或个人支付的费用。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(三)不准接受或隐含为甲方、相关单位或个人装修住房、婚丧嫁娶、配偶子女的工作安排以及出国(境)旅游等提供方便。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(四)不准以任何理由，为甲方、相关单位或个人，组织有可能影响公正执行公务的宴请、健身、娱乐等活动。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(五)不得为甲方和相关个人购置或提供通讯工具、交通工具和高档办公用品等。</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工作人员有违反本协议第一、二条责任行为的，按照管理权限，依据有关法律法规和规定给予党纪、政纪处分或组织处理；涉嫌犯罪的，移交司法机关追究刑事责任；给乙方单位造成经济损失的，应予以赔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情节严重的，甲方可以在未来一至三年内拒绝乙方继续承接其建设项目。</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第五条</w:t>
      </w:r>
      <w:r>
        <w:rPr>
          <w:rFonts w:hint="eastAsia" w:ascii="宋体" w:hAnsi="宋体" w:eastAsia="宋体" w:cs="宋体"/>
          <w:color w:val="auto"/>
          <w:szCs w:val="21"/>
          <w:highlight w:val="none"/>
        </w:rPr>
        <w:t>本协议由双方或双方上级单位的纪检监察机关负责监督。具体可由甲方或甲方上级单位的纪检监察机关约请乙方或乙方上级单位纪检监察机关，对本协议履行情况进行检查，提出在本协议规定范围内的裁定意见。</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bCs/>
          <w:color w:val="auto"/>
          <w:szCs w:val="21"/>
          <w:highlight w:val="none"/>
        </w:rPr>
        <w:t>甲乙双方都承诺不另外制订与</w:t>
      </w:r>
      <w:r>
        <w:rPr>
          <w:rFonts w:hint="eastAsia" w:ascii="宋体" w:hAnsi="宋体" w:eastAsia="宋体" w:cs="宋体"/>
          <w:color w:val="auto"/>
          <w:szCs w:val="21"/>
          <w:highlight w:val="none"/>
        </w:rPr>
        <w:t>本工程合同实质性内容不一致的工程合同。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本协议有效期为甲乙双方签署之日起，至本工程合同失效之日止。</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本协议作为本工程合同的附加条款，并与之具有同等的法律效力，经合同双方签署后立即生效。</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本协议一式</w:t>
      </w:r>
      <w:r>
        <w:rPr>
          <w:rFonts w:hint="eastAsia" w:ascii="宋体" w:hAnsi="宋体" w:eastAsia="宋体" w:cs="宋体"/>
          <w:color w:val="auto"/>
          <w:szCs w:val="21"/>
          <w:highlight w:val="none"/>
          <w:u w:val="single"/>
        </w:rPr>
        <w:t>拾</w:t>
      </w:r>
      <w:r>
        <w:rPr>
          <w:rFonts w:hint="eastAsia" w:ascii="宋体" w:hAnsi="宋体" w:eastAsia="宋体" w:cs="宋体"/>
          <w:color w:val="auto"/>
          <w:szCs w:val="21"/>
          <w:highlight w:val="none"/>
        </w:rPr>
        <w:t>份，具有同等法律效力，甲方执</w:t>
      </w:r>
      <w:r>
        <w:rPr>
          <w:rFonts w:hint="eastAsia" w:ascii="宋体" w:hAnsi="宋体" w:eastAsia="宋体" w:cs="宋体"/>
          <w:color w:val="auto"/>
          <w:szCs w:val="21"/>
          <w:highlight w:val="none"/>
          <w:u w:val="single"/>
        </w:rPr>
        <w:t>伍</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伍</w:t>
      </w:r>
      <w:r>
        <w:rPr>
          <w:rFonts w:hint="eastAsia" w:ascii="宋体" w:hAnsi="宋体" w:eastAsia="宋体" w:cs="宋体"/>
          <w:color w:val="auto"/>
          <w:szCs w:val="21"/>
          <w:highlight w:val="none"/>
        </w:rPr>
        <w:t>份，其中双方监督单位各执一份。</w:t>
      </w:r>
    </w:p>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（以下无正文，为协议签署页）</w:t>
      </w:r>
    </w:p>
    <w:p>
      <w:pPr>
        <w:spacing w:after="120"/>
        <w:ind w:left="420" w:leftChars="200" w:firstLine="420"/>
        <w:rPr>
          <w:rFonts w:hint="eastAsia" w:ascii="宋体" w:hAnsi="宋体" w:eastAsia="宋体" w:cs="宋体"/>
          <w:color w:val="auto"/>
          <w:szCs w:val="21"/>
          <w:highlight w:val="none"/>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4360" w:type="dxa"/>
          </w:tcPr>
          <w:p>
            <w:pPr>
              <w:spacing w:after="1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eastAsia="zh-CN"/>
              </w:rPr>
              <w:t>深圳市新龙观投资发展有限公司</w:t>
            </w:r>
          </w:p>
        </w:tc>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pPr>
              <w:spacing w:after="120"/>
              <w:rPr>
                <w:rFonts w:hint="eastAsia" w:ascii="宋体" w:hAnsi="宋体" w:eastAsia="宋体" w:cs="宋体"/>
                <w:color w:val="auto"/>
                <w:highlight w:val="none"/>
              </w:rPr>
            </w:pPr>
            <w:r>
              <w:rPr>
                <w:rFonts w:hint="eastAsia" w:ascii="宋体" w:hAnsi="宋体" w:eastAsia="宋体" w:cs="宋体"/>
                <w:color w:val="auto"/>
                <w:highlight w:val="none"/>
              </w:rPr>
              <w:t>（盖章）</w:t>
            </w:r>
          </w:p>
          <w:p>
            <w:pPr>
              <w:pStyle w:val="4"/>
              <w:rPr>
                <w:rFonts w:hint="eastAsia" w:ascii="宋体" w:hAnsi="宋体" w:eastAsia="宋体" w:cs="宋体"/>
                <w:color w:val="auto"/>
                <w:highlight w:val="none"/>
              </w:rPr>
            </w:pPr>
          </w:p>
        </w:tc>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或其委托代理人（签名）：</w:t>
            </w:r>
          </w:p>
        </w:tc>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签订时间：</w:t>
            </w:r>
          </w:p>
        </w:tc>
        <w:tc>
          <w:tcPr>
            <w:tcW w:w="4360" w:type="dxa"/>
          </w:tcPr>
          <w:p>
            <w:pPr>
              <w:spacing w:after="120"/>
              <w:rPr>
                <w:rFonts w:hint="eastAsia" w:ascii="宋体" w:hAnsi="宋体" w:eastAsia="宋体" w:cs="宋体"/>
                <w:color w:val="auto"/>
                <w:szCs w:val="21"/>
                <w:highlight w:val="none"/>
              </w:rPr>
            </w:pPr>
          </w:p>
        </w:tc>
      </w:tr>
    </w:tbl>
    <w:p>
      <w:pPr>
        <w:spacing w:after="120"/>
        <w:ind w:left="420" w:leftChars="200" w:firstLine="420"/>
        <w:rPr>
          <w:rFonts w:ascii="宋体" w:hAnsi="宋体"/>
          <w:color w:val="auto"/>
          <w:szCs w:val="21"/>
          <w:highlight w:val="none"/>
        </w:rPr>
      </w:pPr>
    </w:p>
    <w:p>
      <w:pPr>
        <w:spacing w:after="120"/>
        <w:ind w:left="420" w:leftChars="200" w:firstLine="420"/>
        <w:rPr>
          <w:rFonts w:ascii="宋体" w:hAnsi="Courier New" w:cs="Courier New"/>
          <w:color w:val="auto"/>
          <w:szCs w:val="21"/>
          <w:highlight w:val="none"/>
        </w:rPr>
      </w:pPr>
    </w:p>
    <w:p>
      <w:pPr>
        <w:rPr>
          <w:color w:val="auto"/>
          <w:highlight w:val="none"/>
        </w:rPr>
      </w:pPr>
      <w:r>
        <w:rPr>
          <w:rFonts w:hint="eastAsia"/>
          <w:color w:val="auto"/>
          <w:highlight w:val="none"/>
        </w:rPr>
        <w:br w:type="page"/>
      </w:r>
    </w:p>
    <w:p>
      <w:pPr>
        <w:keepNext/>
        <w:keepLines/>
        <w:spacing w:line="360" w:lineRule="auto"/>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附件2履约评价管理办法</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以甲方下发的文件为准</w:t>
      </w:r>
      <w:r>
        <w:rPr>
          <w:rFonts w:hint="eastAsia" w:ascii="宋体" w:hAnsi="宋体" w:eastAsia="宋体" w:cs="宋体"/>
          <w:b/>
          <w:color w:val="auto"/>
          <w:szCs w:val="21"/>
          <w:highlight w:val="none"/>
          <w:lang w:eastAsia="zh-CN"/>
        </w:rPr>
        <w:t>）</w:t>
      </w:r>
    </w:p>
    <w:p>
      <w:pPr>
        <w:pStyle w:val="4"/>
        <w:adjustRightInd w:val="0"/>
        <w:snapToGrid w:val="0"/>
        <w:spacing w:after="0" w:line="360" w:lineRule="auto"/>
        <w:ind w:firstLine="420" w:firstLineChars="200"/>
        <w:rPr>
          <w:color w:val="auto"/>
          <w:highlight w:val="none"/>
        </w:rPr>
      </w:pPr>
      <w:r>
        <w:rPr>
          <w:rFonts w:hint="eastAsia"/>
          <w:color w:val="auto"/>
          <w:highlight w:val="none"/>
        </w:rPr>
        <w:t>建设工程合同履约评价管理办法（试行）</w:t>
      </w:r>
    </w:p>
    <w:p>
      <w:pPr>
        <w:pStyle w:val="4"/>
        <w:adjustRightInd w:val="0"/>
        <w:snapToGrid w:val="0"/>
        <w:spacing w:after="0" w:line="360" w:lineRule="auto"/>
        <w:ind w:firstLine="420" w:firstLineChars="200"/>
        <w:rPr>
          <w:color w:val="auto"/>
          <w:highlight w:val="none"/>
        </w:rPr>
      </w:pPr>
      <w:r>
        <w:rPr>
          <w:rFonts w:hint="eastAsia"/>
          <w:color w:val="auto"/>
          <w:highlight w:val="none"/>
        </w:rPr>
        <w:t>第一章总则</w:t>
      </w:r>
    </w:p>
    <w:p>
      <w:pPr>
        <w:pStyle w:val="4"/>
        <w:adjustRightInd w:val="0"/>
        <w:snapToGrid w:val="0"/>
        <w:spacing w:after="0" w:line="360" w:lineRule="auto"/>
        <w:ind w:firstLine="420" w:firstLineChars="200"/>
        <w:rPr>
          <w:color w:val="auto"/>
          <w:highlight w:val="none"/>
        </w:rPr>
      </w:pPr>
      <w:r>
        <w:rPr>
          <w:rFonts w:hint="eastAsia"/>
          <w:color w:val="auto"/>
          <w:highlight w:val="none"/>
        </w:rPr>
        <w:t>第一条为规范深圳市龙华建设发展集团有限公司（以下简称“集团”）建设工程合同履约评价管理，增强承包商诚信履约意识，实现集团建设项目高质量发展，根据《建筑市场信用管理暂行办法》（建市〔2017〕241 号）、《深圳市人民政府印发&lt;关于建设工程招标投标改革若干规定&gt;的通知》（深府办〔2015〕73号）、《深圳市住房和建设局印发&lt;关于进一步完善建设工程招标投标制度的若干措施&gt;的通知》（深建规〔2020〕1号）和《深圳市住房和建设局关于印发&lt;深圳市建筑市场主体信用管理办法&gt;的通知》（深建规〔2020〕3号）等规定要求，及其他国家、省、市相关法规规定，结合集团实际，制定本办法。</w:t>
      </w:r>
    </w:p>
    <w:p>
      <w:pPr>
        <w:pStyle w:val="4"/>
        <w:adjustRightInd w:val="0"/>
        <w:snapToGrid w:val="0"/>
        <w:spacing w:after="0" w:line="360" w:lineRule="auto"/>
        <w:ind w:firstLine="420" w:firstLineChars="200"/>
        <w:rPr>
          <w:color w:val="auto"/>
          <w:highlight w:val="none"/>
        </w:rPr>
      </w:pPr>
      <w:r>
        <w:rPr>
          <w:rFonts w:hint="eastAsia"/>
          <w:color w:val="auto"/>
          <w:highlight w:val="none"/>
        </w:rPr>
        <w:t>第二条本办法适用于集团总部直管的建设工程项目，包括施工总承包、EPC、设计、监理、全过程工程咨询、招标代理、造价咨询、造价审核及其他服务类（包括勘察、竣工测量、审图、检测、监测、安全巡查）等合同的履约评价。对于未列入本办法的其他类型合同，其履约评价可参照本办法或按照合同约定执行。</w:t>
      </w:r>
    </w:p>
    <w:p>
      <w:pPr>
        <w:pStyle w:val="4"/>
        <w:adjustRightInd w:val="0"/>
        <w:snapToGrid w:val="0"/>
        <w:spacing w:after="0" w:line="360" w:lineRule="auto"/>
        <w:ind w:firstLine="420" w:firstLineChars="200"/>
        <w:rPr>
          <w:color w:val="auto"/>
          <w:highlight w:val="none"/>
        </w:rPr>
      </w:pPr>
      <w:r>
        <w:rPr>
          <w:rFonts w:hint="eastAsia"/>
          <w:color w:val="auto"/>
          <w:highlight w:val="none"/>
        </w:rPr>
        <w:t>第三条项目全过程开展履约评价的合同分类：</w:t>
      </w:r>
    </w:p>
    <w:p>
      <w:pPr>
        <w:pStyle w:val="4"/>
        <w:adjustRightInd w:val="0"/>
        <w:snapToGrid w:val="0"/>
        <w:spacing w:after="0" w:line="360" w:lineRule="auto"/>
        <w:ind w:firstLine="420" w:firstLineChars="200"/>
        <w:rPr>
          <w:color w:val="auto"/>
          <w:highlight w:val="none"/>
        </w:rPr>
      </w:pPr>
      <w:r>
        <w:rPr>
          <w:rFonts w:hint="eastAsia"/>
          <w:color w:val="auto"/>
          <w:highlight w:val="none"/>
        </w:rPr>
        <w:t>（一）设计类合同：设计（含基坑支护及土石方/主体/装修/景观园林）、设计咨询合同。</w:t>
      </w:r>
    </w:p>
    <w:p>
      <w:pPr>
        <w:pStyle w:val="4"/>
        <w:adjustRightInd w:val="0"/>
        <w:snapToGrid w:val="0"/>
        <w:spacing w:after="0" w:line="360" w:lineRule="auto"/>
        <w:ind w:firstLine="420" w:firstLineChars="200"/>
        <w:rPr>
          <w:color w:val="auto"/>
          <w:highlight w:val="none"/>
        </w:rPr>
      </w:pPr>
      <w:r>
        <w:rPr>
          <w:rFonts w:hint="eastAsia"/>
          <w:color w:val="auto"/>
          <w:highlight w:val="none"/>
        </w:rPr>
        <w:t>（二）施工类合同：施工总承包、EPC、勘察合同。</w:t>
      </w:r>
    </w:p>
    <w:p>
      <w:pPr>
        <w:pStyle w:val="4"/>
        <w:adjustRightInd w:val="0"/>
        <w:snapToGrid w:val="0"/>
        <w:spacing w:after="0" w:line="360" w:lineRule="auto"/>
        <w:ind w:firstLine="420" w:firstLineChars="200"/>
        <w:rPr>
          <w:color w:val="auto"/>
          <w:highlight w:val="none"/>
        </w:rPr>
      </w:pPr>
      <w:r>
        <w:rPr>
          <w:rFonts w:hint="eastAsia"/>
          <w:color w:val="auto"/>
          <w:highlight w:val="none"/>
        </w:rPr>
        <w:t>（三）造价咨询类合同：招标代理、全过程造价咨询、第三方造价审核合同。</w:t>
      </w:r>
    </w:p>
    <w:p>
      <w:pPr>
        <w:pStyle w:val="4"/>
        <w:adjustRightInd w:val="0"/>
        <w:snapToGrid w:val="0"/>
        <w:spacing w:after="0" w:line="360" w:lineRule="auto"/>
        <w:ind w:firstLine="420" w:firstLineChars="200"/>
        <w:rPr>
          <w:color w:val="auto"/>
          <w:highlight w:val="none"/>
        </w:rPr>
      </w:pPr>
      <w:r>
        <w:rPr>
          <w:rFonts w:hint="eastAsia"/>
          <w:color w:val="auto"/>
          <w:highlight w:val="none"/>
        </w:rPr>
        <w:t>（四）监理及其他服务类合同：监理、全过程咨询、检测、监测、绿建验收评估、竣工测绘、水保、安评、环评、地灾合同等。</w:t>
      </w:r>
    </w:p>
    <w:p>
      <w:pPr>
        <w:pStyle w:val="4"/>
        <w:adjustRightInd w:val="0"/>
        <w:snapToGrid w:val="0"/>
        <w:spacing w:after="0" w:line="360" w:lineRule="auto"/>
        <w:ind w:firstLine="420" w:firstLineChars="200"/>
        <w:rPr>
          <w:color w:val="auto"/>
          <w:highlight w:val="none"/>
        </w:rPr>
      </w:pPr>
      <w:r>
        <w:rPr>
          <w:rFonts w:hint="eastAsia"/>
          <w:color w:val="auto"/>
          <w:highlight w:val="none"/>
        </w:rPr>
        <w:t>第四条项目合同实行履约评价的原则：</w:t>
      </w:r>
    </w:p>
    <w:p>
      <w:pPr>
        <w:pStyle w:val="4"/>
        <w:adjustRightInd w:val="0"/>
        <w:snapToGrid w:val="0"/>
        <w:spacing w:after="0" w:line="360" w:lineRule="auto"/>
        <w:ind w:firstLine="420" w:firstLineChars="200"/>
        <w:rPr>
          <w:color w:val="auto"/>
          <w:highlight w:val="none"/>
        </w:rPr>
      </w:pPr>
      <w:r>
        <w:rPr>
          <w:rFonts w:hint="eastAsia"/>
          <w:color w:val="auto"/>
          <w:highlight w:val="none"/>
        </w:rPr>
        <w:t>（一）实行即时履约评价的合同：</w:t>
      </w:r>
    </w:p>
    <w:p>
      <w:pPr>
        <w:pStyle w:val="4"/>
        <w:adjustRightInd w:val="0"/>
        <w:snapToGrid w:val="0"/>
        <w:spacing w:after="0" w:line="360" w:lineRule="auto"/>
        <w:ind w:firstLine="420" w:firstLineChars="200"/>
        <w:rPr>
          <w:color w:val="auto"/>
          <w:highlight w:val="none"/>
        </w:rPr>
      </w:pPr>
      <w:r>
        <w:rPr>
          <w:rFonts w:hint="eastAsia"/>
          <w:color w:val="auto"/>
          <w:highlight w:val="none"/>
        </w:rPr>
        <w:t>所有建设工程类合同原则上均可实行即时履约评价。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（二）实行定期履约评价的合同：</w:t>
      </w:r>
    </w:p>
    <w:p>
      <w:pPr>
        <w:pStyle w:val="4"/>
        <w:adjustRightInd w:val="0"/>
        <w:snapToGrid w:val="0"/>
        <w:spacing w:after="0" w:line="360" w:lineRule="auto"/>
        <w:ind w:firstLine="420" w:firstLineChars="200"/>
        <w:rPr>
          <w:color w:val="auto"/>
          <w:highlight w:val="none"/>
        </w:rPr>
      </w:pPr>
      <w:r>
        <w:rPr>
          <w:rFonts w:hint="eastAsia"/>
          <w:color w:val="auto"/>
          <w:highlight w:val="none"/>
        </w:rPr>
        <w:t>1.合同金额100万以上的设计、造价咨询类、监理、全过程工程咨询合同；</w:t>
      </w:r>
    </w:p>
    <w:p>
      <w:pPr>
        <w:pStyle w:val="4"/>
        <w:adjustRightInd w:val="0"/>
        <w:snapToGrid w:val="0"/>
        <w:spacing w:after="0" w:line="360" w:lineRule="auto"/>
        <w:ind w:firstLine="420" w:firstLineChars="200"/>
        <w:rPr>
          <w:color w:val="auto"/>
          <w:highlight w:val="none"/>
        </w:rPr>
      </w:pPr>
      <w:r>
        <w:rPr>
          <w:rFonts w:hint="eastAsia"/>
          <w:color w:val="auto"/>
          <w:highlight w:val="none"/>
        </w:rPr>
        <w:t>2.合同金额400万以上的施工类合同。</w:t>
      </w:r>
    </w:p>
    <w:p>
      <w:pPr>
        <w:pStyle w:val="4"/>
        <w:adjustRightInd w:val="0"/>
        <w:snapToGrid w:val="0"/>
        <w:spacing w:after="0" w:line="360" w:lineRule="auto"/>
        <w:ind w:firstLine="420" w:firstLineChars="200"/>
        <w:rPr>
          <w:color w:val="auto"/>
          <w:highlight w:val="none"/>
        </w:rPr>
      </w:pPr>
      <w:r>
        <w:rPr>
          <w:rFonts w:hint="eastAsia"/>
          <w:color w:val="auto"/>
          <w:highlight w:val="none"/>
        </w:rPr>
        <w:t>（三）只实行最终履约评价的合同：</w:t>
      </w:r>
    </w:p>
    <w:p>
      <w:pPr>
        <w:pStyle w:val="4"/>
        <w:adjustRightInd w:val="0"/>
        <w:snapToGrid w:val="0"/>
        <w:spacing w:after="0" w:line="360" w:lineRule="auto"/>
        <w:ind w:firstLine="420" w:firstLineChars="200"/>
        <w:rPr>
          <w:color w:val="auto"/>
          <w:highlight w:val="none"/>
        </w:rPr>
      </w:pPr>
      <w:r>
        <w:rPr>
          <w:rFonts w:hint="eastAsia"/>
          <w:color w:val="auto"/>
          <w:highlight w:val="none"/>
        </w:rPr>
        <w:t>1.合同金额100万以下的设计、造价咨询类、监理、全过程工程咨询合同；</w:t>
      </w:r>
    </w:p>
    <w:p>
      <w:pPr>
        <w:pStyle w:val="4"/>
        <w:adjustRightInd w:val="0"/>
        <w:snapToGrid w:val="0"/>
        <w:spacing w:after="0" w:line="360" w:lineRule="auto"/>
        <w:ind w:firstLine="420" w:firstLineChars="200"/>
        <w:rPr>
          <w:color w:val="auto"/>
          <w:highlight w:val="none"/>
        </w:rPr>
      </w:pPr>
      <w:r>
        <w:rPr>
          <w:rFonts w:hint="eastAsia"/>
          <w:color w:val="auto"/>
          <w:highlight w:val="none"/>
        </w:rPr>
        <w:t>2.合同金额400万以下的施工类合同；</w:t>
      </w:r>
    </w:p>
    <w:p>
      <w:pPr>
        <w:pStyle w:val="4"/>
        <w:adjustRightInd w:val="0"/>
        <w:snapToGrid w:val="0"/>
        <w:spacing w:after="0" w:line="360" w:lineRule="auto"/>
        <w:ind w:firstLine="420" w:firstLineChars="200"/>
        <w:rPr>
          <w:color w:val="auto"/>
          <w:highlight w:val="none"/>
        </w:rPr>
      </w:pPr>
      <w:r>
        <w:rPr>
          <w:rFonts w:hint="eastAsia"/>
          <w:color w:val="auto"/>
          <w:highlight w:val="none"/>
        </w:rPr>
        <w:t>3.除施工类、设计、造价咨询类、监理、全过程工程咨询以外的其他建设工程类合同。</w:t>
      </w:r>
    </w:p>
    <w:p>
      <w:pPr>
        <w:pStyle w:val="4"/>
        <w:adjustRightInd w:val="0"/>
        <w:snapToGrid w:val="0"/>
        <w:spacing w:after="0" w:line="360" w:lineRule="auto"/>
        <w:ind w:firstLine="420" w:firstLineChars="200"/>
        <w:rPr>
          <w:color w:val="auto"/>
          <w:highlight w:val="none"/>
        </w:rPr>
      </w:pPr>
      <w:r>
        <w:rPr>
          <w:rFonts w:hint="eastAsia"/>
          <w:color w:val="auto"/>
          <w:highlight w:val="none"/>
        </w:rPr>
        <w:t>第五条履约评价应以国家、省、市、区有关法律、法规及规定，集团有关制度，以及合同条款等为依据，坚持实事求是、客观审慎、公平公正的原则，全面、真实地反映合同履约单位的履约情况。</w:t>
      </w:r>
    </w:p>
    <w:p>
      <w:pPr>
        <w:pStyle w:val="4"/>
        <w:adjustRightInd w:val="0"/>
        <w:snapToGrid w:val="0"/>
        <w:spacing w:after="0" w:line="360" w:lineRule="auto"/>
        <w:ind w:firstLine="420" w:firstLineChars="200"/>
        <w:rPr>
          <w:color w:val="auto"/>
          <w:highlight w:val="none"/>
        </w:rPr>
      </w:pPr>
      <w:r>
        <w:rPr>
          <w:rFonts w:hint="eastAsia"/>
          <w:color w:val="auto"/>
          <w:highlight w:val="none"/>
        </w:rPr>
        <w:t>第二章组织机构</w:t>
      </w:r>
    </w:p>
    <w:p>
      <w:pPr>
        <w:pStyle w:val="4"/>
        <w:adjustRightInd w:val="0"/>
        <w:snapToGrid w:val="0"/>
        <w:spacing w:after="0" w:line="360" w:lineRule="auto"/>
        <w:ind w:firstLine="420" w:firstLineChars="200"/>
        <w:rPr>
          <w:color w:val="auto"/>
          <w:highlight w:val="none"/>
        </w:rPr>
      </w:pPr>
      <w:r>
        <w:rPr>
          <w:rFonts w:hint="eastAsia"/>
          <w:color w:val="auto"/>
          <w:highlight w:val="none"/>
        </w:rPr>
        <w:t>第六条集团成立履约评价领导小组和履约评价工作组。</w:t>
      </w:r>
    </w:p>
    <w:p>
      <w:pPr>
        <w:pStyle w:val="4"/>
        <w:adjustRightInd w:val="0"/>
        <w:snapToGrid w:val="0"/>
        <w:spacing w:after="0" w:line="360" w:lineRule="auto"/>
        <w:ind w:firstLine="420" w:firstLineChars="200"/>
        <w:rPr>
          <w:color w:val="auto"/>
          <w:highlight w:val="none"/>
        </w:rPr>
      </w:pPr>
      <w:r>
        <w:rPr>
          <w:rFonts w:hint="eastAsia"/>
          <w:color w:val="auto"/>
          <w:highlight w:val="none"/>
        </w:rPr>
        <w:t>（一）履约评价领导小组（以下简称“领导小组”）：</w:t>
      </w:r>
    </w:p>
    <w:p>
      <w:pPr>
        <w:pStyle w:val="4"/>
        <w:adjustRightInd w:val="0"/>
        <w:snapToGrid w:val="0"/>
        <w:spacing w:after="0" w:line="360" w:lineRule="auto"/>
        <w:ind w:firstLine="420" w:firstLineChars="200"/>
        <w:rPr>
          <w:color w:val="auto"/>
          <w:highlight w:val="none"/>
        </w:rPr>
      </w:pPr>
      <w:r>
        <w:rPr>
          <w:rFonts w:hint="eastAsia"/>
          <w:color w:val="auto"/>
          <w:highlight w:val="none"/>
        </w:rPr>
        <w:t>领导小组成员由集团领导及相关部门负责人组成。其中：组长由集团董事长及总经理担任，副组长由集团建设分管领导担任，组员由建设管理中心、成本合约部、安全管理部部门正副职组成。</w:t>
      </w:r>
    </w:p>
    <w:p>
      <w:pPr>
        <w:pStyle w:val="4"/>
        <w:adjustRightInd w:val="0"/>
        <w:snapToGrid w:val="0"/>
        <w:spacing w:after="0" w:line="360" w:lineRule="auto"/>
        <w:ind w:firstLine="420" w:firstLineChars="200"/>
        <w:rPr>
          <w:color w:val="auto"/>
          <w:highlight w:val="none"/>
        </w:rPr>
      </w:pPr>
      <w:r>
        <w:rPr>
          <w:rFonts w:hint="eastAsia"/>
          <w:color w:val="auto"/>
          <w:highlight w:val="none"/>
        </w:rPr>
        <w:t>领导小组会议出席人员需同时满足以下三个条件方可召开：</w:t>
      </w:r>
    </w:p>
    <w:p>
      <w:pPr>
        <w:pStyle w:val="4"/>
        <w:adjustRightInd w:val="0"/>
        <w:snapToGrid w:val="0"/>
        <w:spacing w:after="0" w:line="360" w:lineRule="auto"/>
        <w:ind w:firstLine="420" w:firstLineChars="200"/>
        <w:rPr>
          <w:color w:val="auto"/>
          <w:highlight w:val="none"/>
        </w:rPr>
      </w:pPr>
      <w:r>
        <w:rPr>
          <w:rFonts w:hint="eastAsia"/>
          <w:color w:val="auto"/>
          <w:highlight w:val="none"/>
        </w:rPr>
        <w:t>1.小组成员5人以上单数；</w:t>
      </w:r>
    </w:p>
    <w:p>
      <w:pPr>
        <w:pStyle w:val="4"/>
        <w:adjustRightInd w:val="0"/>
        <w:snapToGrid w:val="0"/>
        <w:spacing w:after="0" w:line="360" w:lineRule="auto"/>
        <w:ind w:firstLine="420" w:firstLineChars="200"/>
        <w:rPr>
          <w:color w:val="auto"/>
          <w:highlight w:val="none"/>
        </w:rPr>
      </w:pPr>
      <w:r>
        <w:rPr>
          <w:rFonts w:hint="eastAsia"/>
          <w:color w:val="auto"/>
          <w:highlight w:val="none"/>
        </w:rPr>
        <w:t>2.组长或副组长不少于1人；</w:t>
      </w:r>
    </w:p>
    <w:p>
      <w:pPr>
        <w:pStyle w:val="4"/>
        <w:adjustRightInd w:val="0"/>
        <w:snapToGrid w:val="0"/>
        <w:spacing w:after="0" w:line="360" w:lineRule="auto"/>
        <w:ind w:firstLine="420" w:firstLineChars="200"/>
        <w:rPr>
          <w:color w:val="auto"/>
          <w:highlight w:val="none"/>
        </w:rPr>
      </w:pPr>
      <w:r>
        <w:rPr>
          <w:rFonts w:hint="eastAsia"/>
          <w:color w:val="auto"/>
          <w:highlight w:val="none"/>
        </w:rPr>
        <w:t>3.纪检监察室列席。</w:t>
      </w:r>
    </w:p>
    <w:p>
      <w:pPr>
        <w:pStyle w:val="4"/>
        <w:adjustRightInd w:val="0"/>
        <w:snapToGrid w:val="0"/>
        <w:spacing w:after="0" w:line="360" w:lineRule="auto"/>
        <w:ind w:firstLine="420" w:firstLineChars="200"/>
        <w:rPr>
          <w:color w:val="auto"/>
          <w:highlight w:val="none"/>
        </w:rPr>
      </w:pPr>
      <w:r>
        <w:rPr>
          <w:rFonts w:hint="eastAsia"/>
          <w:color w:val="auto"/>
          <w:highlight w:val="none"/>
        </w:rPr>
        <w:t>（二）履约评价工作组（以下简称“工作组”）：</w:t>
      </w:r>
    </w:p>
    <w:p>
      <w:pPr>
        <w:pStyle w:val="4"/>
        <w:adjustRightInd w:val="0"/>
        <w:snapToGrid w:val="0"/>
        <w:spacing w:after="0" w:line="360" w:lineRule="auto"/>
        <w:ind w:firstLine="420" w:firstLineChars="200"/>
        <w:rPr>
          <w:color w:val="auto"/>
          <w:highlight w:val="none"/>
        </w:rPr>
      </w:pPr>
      <w:r>
        <w:rPr>
          <w:rFonts w:hint="eastAsia"/>
          <w:color w:val="auto"/>
          <w:highlight w:val="none"/>
        </w:rPr>
        <w:t>1.设计类工作组：以建设管理中心（以下简称“建管中心”）分管副职为组长，前期设计部负责人、项目部成员（项目经理、工程管理、设计管理、成本合约管理人员）组成。</w:t>
      </w:r>
    </w:p>
    <w:p>
      <w:pPr>
        <w:pStyle w:val="4"/>
        <w:adjustRightInd w:val="0"/>
        <w:snapToGrid w:val="0"/>
        <w:spacing w:after="0" w:line="360" w:lineRule="auto"/>
        <w:ind w:firstLine="420" w:firstLineChars="200"/>
        <w:rPr>
          <w:color w:val="auto"/>
          <w:highlight w:val="none"/>
        </w:rPr>
      </w:pPr>
      <w:r>
        <w:rPr>
          <w:rFonts w:hint="eastAsia"/>
          <w:color w:val="auto"/>
          <w:highlight w:val="none"/>
        </w:rPr>
        <w:t>2.施工类工作组：以建管中心分管副职为组长，项目所属工程管理部负责人、项目部成员（项目经理、工程管理、设计管理、成本合约管理、安全管理人员）组成。</w:t>
      </w:r>
    </w:p>
    <w:p>
      <w:pPr>
        <w:pStyle w:val="4"/>
        <w:adjustRightInd w:val="0"/>
        <w:snapToGrid w:val="0"/>
        <w:spacing w:after="0" w:line="360" w:lineRule="auto"/>
        <w:ind w:firstLine="420" w:firstLineChars="200"/>
        <w:rPr>
          <w:color w:val="auto"/>
          <w:highlight w:val="none"/>
        </w:rPr>
      </w:pPr>
      <w:r>
        <w:rPr>
          <w:rFonts w:hint="eastAsia"/>
          <w:color w:val="auto"/>
          <w:highlight w:val="none"/>
        </w:rPr>
        <w:t>3.造价咨询类工作组：以成本合约部负责人为组长，项目部成员（项目经理、工程管理、设计管理、成本合约管理人员）组成。</w:t>
      </w:r>
    </w:p>
    <w:p>
      <w:pPr>
        <w:pStyle w:val="4"/>
        <w:adjustRightInd w:val="0"/>
        <w:snapToGrid w:val="0"/>
        <w:spacing w:after="0" w:line="360" w:lineRule="auto"/>
        <w:ind w:firstLine="420" w:firstLineChars="200"/>
        <w:rPr>
          <w:color w:val="auto"/>
          <w:highlight w:val="none"/>
        </w:rPr>
      </w:pPr>
      <w:r>
        <w:rPr>
          <w:rFonts w:hint="eastAsia"/>
          <w:color w:val="auto"/>
          <w:highlight w:val="none"/>
        </w:rPr>
        <w:t>4.监理及其他服务类工作组：以项目所在部门负责人或内设部门分管副职为组长，项目部成员（项目经理、工程管理、设计管理、成本合约管理、安全管理人员）组成。</w:t>
      </w:r>
    </w:p>
    <w:p>
      <w:pPr>
        <w:pStyle w:val="4"/>
        <w:adjustRightInd w:val="0"/>
        <w:snapToGrid w:val="0"/>
        <w:spacing w:after="0" w:line="360" w:lineRule="auto"/>
        <w:ind w:firstLine="420" w:firstLineChars="200"/>
        <w:rPr>
          <w:color w:val="auto"/>
          <w:highlight w:val="none"/>
        </w:rPr>
      </w:pPr>
      <w:r>
        <w:rPr>
          <w:rFonts w:hint="eastAsia"/>
          <w:color w:val="auto"/>
          <w:highlight w:val="none"/>
        </w:rPr>
        <w:t>第三章职责与分工</w:t>
      </w:r>
    </w:p>
    <w:p>
      <w:pPr>
        <w:pStyle w:val="4"/>
        <w:adjustRightInd w:val="0"/>
        <w:snapToGrid w:val="0"/>
        <w:spacing w:after="0" w:line="360" w:lineRule="auto"/>
        <w:ind w:firstLine="420" w:firstLineChars="200"/>
        <w:rPr>
          <w:color w:val="auto"/>
          <w:highlight w:val="none"/>
        </w:rPr>
      </w:pPr>
      <w:r>
        <w:rPr>
          <w:rFonts w:hint="eastAsia"/>
          <w:color w:val="auto"/>
          <w:highlight w:val="none"/>
        </w:rPr>
        <w:t>第七条领导小组是集团履约评价工作的领导机构，负责审议履约评价结果，对工作组的评价工作进行指导监督。</w:t>
      </w:r>
    </w:p>
    <w:p>
      <w:pPr>
        <w:pStyle w:val="4"/>
        <w:adjustRightInd w:val="0"/>
        <w:snapToGrid w:val="0"/>
        <w:spacing w:after="0" w:line="360" w:lineRule="auto"/>
        <w:ind w:firstLine="420" w:firstLineChars="200"/>
        <w:rPr>
          <w:color w:val="auto"/>
          <w:highlight w:val="none"/>
        </w:rPr>
      </w:pPr>
      <w:r>
        <w:rPr>
          <w:rFonts w:hint="eastAsia"/>
          <w:color w:val="auto"/>
          <w:highlight w:val="none"/>
        </w:rPr>
        <w:t>第八条工作组负责履约评价实施，根据履约评价评分细则（见附件4）进行履约评价评分。</w:t>
      </w:r>
    </w:p>
    <w:p>
      <w:pPr>
        <w:pStyle w:val="4"/>
        <w:adjustRightInd w:val="0"/>
        <w:snapToGrid w:val="0"/>
        <w:spacing w:after="0" w:line="360" w:lineRule="auto"/>
        <w:ind w:firstLine="420" w:firstLineChars="200"/>
        <w:rPr>
          <w:color w:val="auto"/>
          <w:highlight w:val="none"/>
        </w:rPr>
      </w:pPr>
      <w:r>
        <w:rPr>
          <w:rFonts w:hint="eastAsia"/>
          <w:color w:val="auto"/>
          <w:highlight w:val="none"/>
        </w:rPr>
        <w:t>第九条根据履约评价工作机制，集团各部门履约评价工作职责如下：</w:t>
      </w:r>
    </w:p>
    <w:p>
      <w:pPr>
        <w:pStyle w:val="4"/>
        <w:adjustRightInd w:val="0"/>
        <w:snapToGrid w:val="0"/>
        <w:spacing w:after="0" w:line="360" w:lineRule="auto"/>
        <w:ind w:firstLine="420" w:firstLineChars="200"/>
        <w:rPr>
          <w:color w:val="auto"/>
          <w:highlight w:val="none"/>
        </w:rPr>
      </w:pPr>
      <w:r>
        <w:rPr>
          <w:rFonts w:hint="eastAsia"/>
          <w:color w:val="auto"/>
          <w:highlight w:val="none"/>
        </w:rPr>
        <w:t>（一）成本合约部</w:t>
      </w:r>
    </w:p>
    <w:p>
      <w:pPr>
        <w:pStyle w:val="4"/>
        <w:adjustRightInd w:val="0"/>
        <w:snapToGrid w:val="0"/>
        <w:spacing w:after="0" w:line="360" w:lineRule="auto"/>
        <w:ind w:firstLine="420" w:firstLineChars="200"/>
        <w:rPr>
          <w:color w:val="auto"/>
          <w:highlight w:val="none"/>
        </w:rPr>
      </w:pPr>
      <w:r>
        <w:rPr>
          <w:rFonts w:hint="eastAsia"/>
          <w:color w:val="auto"/>
          <w:highlight w:val="none"/>
        </w:rPr>
        <w:t>1.负责建设工程合同履约评价管理办法的制定及修订；</w:t>
      </w:r>
    </w:p>
    <w:p>
      <w:pPr>
        <w:pStyle w:val="4"/>
        <w:adjustRightInd w:val="0"/>
        <w:snapToGrid w:val="0"/>
        <w:spacing w:after="0" w:line="360" w:lineRule="auto"/>
        <w:ind w:firstLine="420" w:firstLineChars="200"/>
        <w:rPr>
          <w:color w:val="auto"/>
          <w:highlight w:val="none"/>
        </w:rPr>
      </w:pPr>
      <w:r>
        <w:rPr>
          <w:rFonts w:hint="eastAsia"/>
          <w:color w:val="auto"/>
          <w:highlight w:val="none"/>
        </w:rPr>
        <w:t>2.负责统筹合同履约评价工作，收集汇总各项目合同履约评价结果上报领导小组审议，办理履约评价结果公告，建立合同履约评价管理台账等工作；</w:t>
      </w:r>
    </w:p>
    <w:p>
      <w:pPr>
        <w:pStyle w:val="4"/>
        <w:adjustRightInd w:val="0"/>
        <w:snapToGrid w:val="0"/>
        <w:spacing w:after="0" w:line="360" w:lineRule="auto"/>
        <w:ind w:firstLine="420" w:firstLineChars="200"/>
        <w:rPr>
          <w:color w:val="auto"/>
          <w:highlight w:val="none"/>
        </w:rPr>
      </w:pPr>
      <w:r>
        <w:rPr>
          <w:rFonts w:hint="eastAsia"/>
          <w:color w:val="auto"/>
          <w:highlight w:val="none"/>
        </w:rPr>
        <w:t>3.负责组织造价咨询类合同的履约评价，并参与其他类合同的履约评价。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（二）建管中心</w:t>
      </w:r>
    </w:p>
    <w:p>
      <w:pPr>
        <w:pStyle w:val="4"/>
        <w:adjustRightInd w:val="0"/>
        <w:snapToGrid w:val="0"/>
        <w:spacing w:after="0" w:line="360" w:lineRule="auto"/>
        <w:ind w:firstLine="420" w:firstLineChars="200"/>
        <w:rPr>
          <w:color w:val="auto"/>
          <w:highlight w:val="none"/>
        </w:rPr>
      </w:pPr>
      <w:r>
        <w:rPr>
          <w:rFonts w:hint="eastAsia"/>
          <w:color w:val="auto"/>
          <w:highlight w:val="none"/>
        </w:rPr>
        <w:t>负责组织施工类、设计类、监理及其他服务类合同履约评价，内设各部门职责如下：</w:t>
      </w:r>
    </w:p>
    <w:p>
      <w:pPr>
        <w:pStyle w:val="4"/>
        <w:adjustRightInd w:val="0"/>
        <w:snapToGrid w:val="0"/>
        <w:spacing w:after="0" w:line="360" w:lineRule="auto"/>
        <w:ind w:firstLine="420" w:firstLineChars="200"/>
        <w:rPr>
          <w:color w:val="auto"/>
          <w:highlight w:val="none"/>
        </w:rPr>
      </w:pPr>
      <w:r>
        <w:rPr>
          <w:rFonts w:hint="eastAsia"/>
          <w:color w:val="auto"/>
          <w:highlight w:val="none"/>
        </w:rPr>
        <w:t>1.前期设计部：负责组织设计、设计咨询及其他前期服务合同（水保、安评、环评、地灾等）的履约评价；参与施工总承包、EPC、全过程工程咨询、勘察、造价咨询等合同的履约评价。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2.工程管理部：负责组织施工总承包、EPC、监理、全过程工程咨询、勘察、竣工测量、监测、检测等合同的履约评价；参与设计、造价咨询、造价审核服务合同的履约评价。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（三）安全管理部</w:t>
      </w:r>
    </w:p>
    <w:p>
      <w:pPr>
        <w:pStyle w:val="4"/>
        <w:adjustRightInd w:val="0"/>
        <w:snapToGrid w:val="0"/>
        <w:spacing w:after="0" w:line="360" w:lineRule="auto"/>
        <w:ind w:firstLine="420" w:firstLineChars="200"/>
        <w:rPr>
          <w:color w:val="auto"/>
          <w:highlight w:val="none"/>
        </w:rPr>
      </w:pPr>
      <w:r>
        <w:rPr>
          <w:rFonts w:hint="eastAsia"/>
          <w:color w:val="auto"/>
          <w:highlight w:val="none"/>
        </w:rPr>
        <w:t>负责组织第三方安全巡查服务合同的履约评价，参与施工总承包、监理、全过程工程咨询等合同的履约评价。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（四）纪检监察室</w:t>
      </w:r>
    </w:p>
    <w:p>
      <w:pPr>
        <w:pStyle w:val="4"/>
        <w:adjustRightInd w:val="0"/>
        <w:snapToGrid w:val="0"/>
        <w:spacing w:after="0" w:line="360" w:lineRule="auto"/>
        <w:ind w:firstLine="420" w:firstLineChars="200"/>
        <w:rPr>
          <w:color w:val="auto"/>
          <w:highlight w:val="none"/>
        </w:rPr>
      </w:pPr>
      <w:r>
        <w:rPr>
          <w:rFonts w:hint="eastAsia"/>
          <w:color w:val="auto"/>
          <w:highlight w:val="none"/>
        </w:rPr>
        <w:t>纪检监察室派监督人员1人，出席领导小组会议，对履约评价全过程进行监督。</w:t>
      </w:r>
    </w:p>
    <w:p>
      <w:pPr>
        <w:pStyle w:val="4"/>
        <w:adjustRightInd w:val="0"/>
        <w:snapToGrid w:val="0"/>
        <w:spacing w:after="0" w:line="360" w:lineRule="auto"/>
        <w:ind w:firstLine="420" w:firstLineChars="200"/>
        <w:rPr>
          <w:color w:val="auto"/>
          <w:highlight w:val="none"/>
        </w:rPr>
      </w:pPr>
      <w:r>
        <w:rPr>
          <w:rFonts w:hint="eastAsia"/>
          <w:color w:val="auto"/>
          <w:highlight w:val="none"/>
        </w:rPr>
        <w:t>第十条各部门要如实记录履约单位的履约情况，按程序对履约单位进行违约处理、通报表扬，建立部门履约管理台账并报成本合约部。</w:t>
      </w:r>
    </w:p>
    <w:p>
      <w:pPr>
        <w:pStyle w:val="4"/>
        <w:adjustRightInd w:val="0"/>
        <w:snapToGrid w:val="0"/>
        <w:spacing w:after="0" w:line="360" w:lineRule="auto"/>
        <w:ind w:firstLine="420" w:firstLineChars="200"/>
        <w:rPr>
          <w:color w:val="auto"/>
          <w:highlight w:val="none"/>
        </w:rPr>
      </w:pPr>
      <w:r>
        <w:rPr>
          <w:rFonts w:hint="eastAsia"/>
          <w:color w:val="auto"/>
          <w:highlight w:val="none"/>
        </w:rPr>
        <w:t>第四章履约评价的实施</w:t>
      </w:r>
    </w:p>
    <w:p>
      <w:pPr>
        <w:pStyle w:val="4"/>
        <w:adjustRightInd w:val="0"/>
        <w:snapToGrid w:val="0"/>
        <w:spacing w:after="0" w:line="360" w:lineRule="auto"/>
        <w:ind w:firstLine="420" w:firstLineChars="200"/>
        <w:rPr>
          <w:color w:val="auto"/>
          <w:highlight w:val="none"/>
        </w:rPr>
      </w:pPr>
      <w:r>
        <w:rPr>
          <w:rFonts w:hint="eastAsia"/>
          <w:color w:val="auto"/>
          <w:highlight w:val="none"/>
        </w:rPr>
        <w:t>第十一条履约评价按周期分为：即时履约评价、定期履约评价、最终履约评价。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（一）即时履约评价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1.即时履约评价是履约评价的特殊形式。当履约单位发生合同约定中直接判定为履约不合格的情形，或集团认为有必要开展时，工作组可发起即时履约评价，不受定期履约评价周期限制。</w:t>
      </w:r>
    </w:p>
    <w:p>
      <w:pPr>
        <w:pStyle w:val="4"/>
        <w:adjustRightInd w:val="0"/>
        <w:snapToGrid w:val="0"/>
        <w:spacing w:after="0" w:line="360" w:lineRule="auto"/>
        <w:ind w:firstLine="420" w:firstLineChars="200"/>
        <w:rPr>
          <w:color w:val="auto"/>
          <w:highlight w:val="none"/>
        </w:rPr>
      </w:pPr>
      <w:r>
        <w:rPr>
          <w:rFonts w:hint="eastAsia"/>
          <w:color w:val="auto"/>
          <w:highlight w:val="none"/>
        </w:rPr>
        <w:t>2.对于实行定期履约评价的合同，定期内已有即时履约评价的，可免于定期履约评价。当定期内有多次即时履约评价，且得分均≥60分时，定期履约评价得分取其算术平均值；当定期内任一即时履约评价得分＜60分时，定期履约评价结果取其最小值。</w:t>
      </w:r>
    </w:p>
    <w:p>
      <w:pPr>
        <w:pStyle w:val="4"/>
        <w:adjustRightInd w:val="0"/>
        <w:snapToGrid w:val="0"/>
        <w:spacing w:after="0" w:line="360" w:lineRule="auto"/>
        <w:ind w:firstLine="420" w:firstLineChars="200"/>
        <w:rPr>
          <w:color w:val="auto"/>
          <w:highlight w:val="none"/>
        </w:rPr>
      </w:pPr>
      <w:r>
        <w:rPr>
          <w:rFonts w:hint="eastAsia"/>
          <w:color w:val="auto"/>
          <w:highlight w:val="none"/>
        </w:rPr>
        <w:t>（二）定期履约评价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定期履约评价以半年度为周期，履约评价期为每年1月1日-6月30日为上半年期，每年7月1日-12月31日为下半年期。工作组根据履约单位在该半年度的履约情况，按评价细则给出定期履约评分，报成本合约部汇报。如当期无实质性履约行为，由工作组备注“免于定期履约评价”后，无需定期履约评价。施工总承包、EPC、监理、全过程工程咨询合同履约单位在保修期内履约情况只开展一次定期评价。</w:t>
      </w:r>
    </w:p>
    <w:p>
      <w:pPr>
        <w:pStyle w:val="4"/>
        <w:adjustRightInd w:val="0"/>
        <w:snapToGrid w:val="0"/>
        <w:spacing w:after="0" w:line="360" w:lineRule="auto"/>
        <w:ind w:firstLine="420" w:firstLineChars="200"/>
        <w:rPr>
          <w:color w:val="auto"/>
          <w:highlight w:val="none"/>
        </w:rPr>
      </w:pPr>
      <w:r>
        <w:rPr>
          <w:rFonts w:hint="eastAsia"/>
          <w:color w:val="auto"/>
          <w:highlight w:val="none"/>
        </w:rPr>
        <w:t>（三）最终履约评价</w:t>
      </w:r>
    </w:p>
    <w:p>
      <w:pPr>
        <w:pStyle w:val="4"/>
        <w:adjustRightInd w:val="0"/>
        <w:snapToGrid w:val="0"/>
        <w:spacing w:after="0" w:line="360" w:lineRule="auto"/>
        <w:ind w:firstLine="420" w:firstLineChars="200"/>
        <w:rPr>
          <w:color w:val="auto"/>
          <w:highlight w:val="none"/>
        </w:rPr>
      </w:pPr>
      <w:r>
        <w:rPr>
          <w:rFonts w:hint="eastAsia"/>
          <w:color w:val="auto"/>
          <w:highlight w:val="none"/>
        </w:rPr>
        <w:t>所有合同全过程有且仅有一次最终履约评价，评价工作在合同履约期满后半年内进行，对于施工总承包、监理等涉及保修的合同原则上需在竣工验收后半年内完成。</w:t>
      </w:r>
    </w:p>
    <w:p>
      <w:pPr>
        <w:pStyle w:val="4"/>
        <w:adjustRightInd w:val="0"/>
        <w:snapToGrid w:val="0"/>
        <w:spacing w:after="0" w:line="360" w:lineRule="auto"/>
        <w:ind w:firstLine="420" w:firstLineChars="200"/>
        <w:rPr>
          <w:color w:val="auto"/>
          <w:highlight w:val="none"/>
        </w:rPr>
      </w:pPr>
      <w:r>
        <w:rPr>
          <w:rFonts w:hint="eastAsia"/>
          <w:color w:val="auto"/>
          <w:highlight w:val="none"/>
        </w:rPr>
        <w:t>1.对于只实行最终履约评价的合同，最终履约评价只做定性评价。由工作组针对履约单位的工作情况撰写评语，依据履约评价结果等级要求进行等级评价。</w:t>
      </w:r>
    </w:p>
    <w:p>
      <w:pPr>
        <w:pStyle w:val="4"/>
        <w:adjustRightInd w:val="0"/>
        <w:snapToGrid w:val="0"/>
        <w:spacing w:after="0" w:line="360" w:lineRule="auto"/>
        <w:ind w:firstLine="420" w:firstLineChars="200"/>
        <w:rPr>
          <w:color w:val="auto"/>
          <w:highlight w:val="none"/>
        </w:rPr>
      </w:pPr>
      <w:r>
        <w:rPr>
          <w:rFonts w:hint="eastAsia"/>
          <w:color w:val="auto"/>
          <w:highlight w:val="none"/>
        </w:rPr>
        <w:t>2.对于实行定期履约评价的合同，最终履约评价得分原则上为该合同所有定期履约评价结果的算术平均值，但下列情形除外：</w:t>
      </w:r>
    </w:p>
    <w:p>
      <w:pPr>
        <w:pStyle w:val="4"/>
        <w:adjustRightInd w:val="0"/>
        <w:snapToGrid w:val="0"/>
        <w:spacing w:after="0" w:line="360" w:lineRule="auto"/>
        <w:ind w:firstLine="420" w:firstLineChars="200"/>
        <w:rPr>
          <w:color w:val="auto"/>
          <w:highlight w:val="none"/>
        </w:rPr>
      </w:pPr>
      <w:r>
        <w:rPr>
          <w:rFonts w:hint="eastAsia"/>
          <w:color w:val="auto"/>
          <w:highlight w:val="none"/>
        </w:rPr>
        <w:t>（1）因履约单位原因严重延误节点工期或合同工期（指无正当理由延误工期20%以上且无有效改进措施）；</w:t>
      </w:r>
    </w:p>
    <w:p>
      <w:pPr>
        <w:pStyle w:val="4"/>
        <w:adjustRightInd w:val="0"/>
        <w:snapToGrid w:val="0"/>
        <w:spacing w:after="0" w:line="360" w:lineRule="auto"/>
        <w:ind w:firstLine="420" w:firstLineChars="200"/>
        <w:rPr>
          <w:color w:val="auto"/>
          <w:highlight w:val="none"/>
        </w:rPr>
      </w:pPr>
      <w:r>
        <w:rPr>
          <w:rFonts w:hint="eastAsia"/>
          <w:color w:val="auto"/>
          <w:highlight w:val="none"/>
        </w:rPr>
        <w:t>（2）拒不履行合同义务且经发包人书面催促3次及以上无改善的情形；</w:t>
      </w:r>
    </w:p>
    <w:p>
      <w:pPr>
        <w:pStyle w:val="4"/>
        <w:adjustRightInd w:val="0"/>
        <w:snapToGrid w:val="0"/>
        <w:spacing w:after="0" w:line="360" w:lineRule="auto"/>
        <w:ind w:firstLine="420" w:firstLineChars="200"/>
        <w:rPr>
          <w:color w:val="auto"/>
          <w:highlight w:val="none"/>
        </w:rPr>
      </w:pPr>
      <w:r>
        <w:rPr>
          <w:rFonts w:hint="eastAsia"/>
          <w:color w:val="auto"/>
          <w:highlight w:val="none"/>
        </w:rPr>
        <w:t>（3）合同约定的其他“一票否决”的不合格情形。</w:t>
      </w:r>
    </w:p>
    <w:p>
      <w:pPr>
        <w:pStyle w:val="4"/>
        <w:adjustRightInd w:val="0"/>
        <w:snapToGrid w:val="0"/>
        <w:spacing w:after="0" w:line="360" w:lineRule="auto"/>
        <w:ind w:firstLine="420" w:firstLineChars="200"/>
        <w:rPr>
          <w:color w:val="auto"/>
          <w:highlight w:val="none"/>
        </w:rPr>
      </w:pPr>
      <w:r>
        <w:rPr>
          <w:rFonts w:hint="eastAsia"/>
          <w:color w:val="auto"/>
          <w:highlight w:val="none"/>
        </w:rPr>
        <w:t>第十二条履约评价评分及等级划分原则</w:t>
      </w:r>
    </w:p>
    <w:p>
      <w:pPr>
        <w:pStyle w:val="4"/>
        <w:adjustRightInd w:val="0"/>
        <w:snapToGrid w:val="0"/>
        <w:spacing w:after="0" w:line="360" w:lineRule="auto"/>
        <w:ind w:firstLine="420" w:firstLineChars="200"/>
        <w:rPr>
          <w:color w:val="auto"/>
          <w:highlight w:val="none"/>
        </w:rPr>
      </w:pPr>
      <w:r>
        <w:rPr>
          <w:rFonts w:hint="eastAsia"/>
          <w:color w:val="auto"/>
          <w:highlight w:val="none"/>
        </w:rPr>
        <w:t>（一）履约评价按评价细则（见附件4）评分，总分数为100分，其中：定期评价得分=工作组评价得分×90%+领导小组评价得分×10%。</w:t>
      </w:r>
    </w:p>
    <w:p>
      <w:pPr>
        <w:pStyle w:val="4"/>
        <w:adjustRightInd w:val="0"/>
        <w:snapToGrid w:val="0"/>
        <w:spacing w:after="0" w:line="360" w:lineRule="auto"/>
        <w:ind w:firstLine="420" w:firstLineChars="200"/>
        <w:rPr>
          <w:color w:val="auto"/>
          <w:highlight w:val="none"/>
        </w:rPr>
      </w:pPr>
      <w:r>
        <w:rPr>
          <w:rFonts w:hint="eastAsia"/>
          <w:color w:val="auto"/>
          <w:highlight w:val="none"/>
        </w:rPr>
        <w:t>（二）对获得市、省、国家级工程质量及安全文明类奖项、勘察设计及咨询服务类奖项的项目及履约评价细则规定的其他奖项，合同最终履约评价应奖励加分。市级奖项+5分，省级奖项+10分，国家级奖项+15分，奖项累计加分，但最终得分不超过100分。具体加减分项见评价细则（见附件4）。</w:t>
      </w:r>
    </w:p>
    <w:p>
      <w:pPr>
        <w:pStyle w:val="4"/>
        <w:adjustRightInd w:val="0"/>
        <w:snapToGrid w:val="0"/>
        <w:spacing w:after="0" w:line="360" w:lineRule="auto"/>
        <w:ind w:firstLine="420" w:firstLineChars="200"/>
        <w:rPr>
          <w:color w:val="auto"/>
          <w:highlight w:val="none"/>
        </w:rPr>
      </w:pPr>
      <w:r>
        <w:rPr>
          <w:rFonts w:hint="eastAsia"/>
          <w:color w:val="auto"/>
          <w:highlight w:val="none"/>
        </w:rPr>
        <w:t>（三）履约评价结果划分为优秀[90分,100分]、良好[80分，90分)、合格[60分，80分)、不合格[0分,60分)四个等级。</w:t>
      </w:r>
    </w:p>
    <w:p>
      <w:pPr>
        <w:pStyle w:val="4"/>
        <w:adjustRightInd w:val="0"/>
        <w:snapToGrid w:val="0"/>
        <w:spacing w:after="0" w:line="360" w:lineRule="auto"/>
        <w:ind w:firstLine="420" w:firstLineChars="200"/>
        <w:rPr>
          <w:color w:val="auto"/>
          <w:highlight w:val="none"/>
        </w:rPr>
      </w:pPr>
      <w:r>
        <w:rPr>
          <w:rFonts w:hint="eastAsia"/>
          <w:color w:val="auto"/>
          <w:highlight w:val="none"/>
        </w:rPr>
        <w:t>优秀[90分,100分]：表示该履约单位非常好的完成了合约工作，对项目目标的达成起到关键作用，整体服务水平大幅高于预期，服务质量明显优于其他能胜任的履约单位。</w:t>
      </w:r>
    </w:p>
    <w:p>
      <w:pPr>
        <w:pStyle w:val="4"/>
        <w:adjustRightInd w:val="0"/>
        <w:snapToGrid w:val="0"/>
        <w:spacing w:after="0" w:line="360" w:lineRule="auto"/>
        <w:ind w:firstLine="420" w:firstLineChars="200"/>
        <w:rPr>
          <w:color w:val="auto"/>
          <w:highlight w:val="none"/>
        </w:rPr>
      </w:pPr>
      <w:r>
        <w:rPr>
          <w:rFonts w:hint="eastAsia"/>
          <w:color w:val="auto"/>
          <w:highlight w:val="none"/>
        </w:rPr>
        <w:t>良好[80分，90分)：表示该履约单位较好的完成了合约工作，对项目目标的达成起到积极作用，整体服务水平略高于预期，服务质量略高于其他能胜任的履约单位。</w:t>
      </w:r>
    </w:p>
    <w:p>
      <w:pPr>
        <w:pStyle w:val="4"/>
        <w:adjustRightInd w:val="0"/>
        <w:snapToGrid w:val="0"/>
        <w:spacing w:after="0" w:line="360" w:lineRule="auto"/>
        <w:ind w:firstLine="420" w:firstLineChars="200"/>
        <w:rPr>
          <w:color w:val="auto"/>
          <w:highlight w:val="none"/>
        </w:rPr>
      </w:pPr>
      <w:r>
        <w:rPr>
          <w:rFonts w:hint="eastAsia"/>
          <w:color w:val="auto"/>
          <w:highlight w:val="none"/>
        </w:rPr>
        <w:t>合格[60分，80分)：表示该履约单位已完成合约工作，没有对项目目标的达成造成负面影响，整体服务水平与预期基本持平，服务质量与其他能胜任的履约单位相比没有优势。</w:t>
      </w:r>
    </w:p>
    <w:p>
      <w:pPr>
        <w:pStyle w:val="4"/>
        <w:adjustRightInd w:val="0"/>
        <w:snapToGrid w:val="0"/>
        <w:spacing w:after="0" w:line="360" w:lineRule="auto"/>
        <w:ind w:firstLine="420" w:firstLineChars="200"/>
        <w:rPr>
          <w:color w:val="auto"/>
          <w:highlight w:val="none"/>
        </w:rPr>
      </w:pPr>
      <w:r>
        <w:rPr>
          <w:rFonts w:hint="eastAsia"/>
          <w:color w:val="auto"/>
          <w:highlight w:val="none"/>
        </w:rPr>
        <w:t>不合格[0分,60分)：表示该履约单位未按要求完成合约工作，对项目目标的达成造成负面影响，整体服务水平不高，履约能力不足，服务质量无法达到合约要求。</w:t>
      </w:r>
    </w:p>
    <w:p>
      <w:pPr>
        <w:pStyle w:val="4"/>
        <w:adjustRightInd w:val="0"/>
        <w:snapToGrid w:val="0"/>
        <w:spacing w:after="0" w:line="360" w:lineRule="auto"/>
        <w:ind w:firstLine="420" w:firstLineChars="200"/>
        <w:rPr>
          <w:color w:val="auto"/>
          <w:highlight w:val="none"/>
        </w:rPr>
      </w:pPr>
      <w:r>
        <w:rPr>
          <w:rFonts w:hint="eastAsia"/>
          <w:color w:val="auto"/>
          <w:highlight w:val="none"/>
        </w:rPr>
        <w:t>第十三条履约评价工作流程</w:t>
      </w:r>
    </w:p>
    <w:p>
      <w:pPr>
        <w:pStyle w:val="4"/>
        <w:adjustRightInd w:val="0"/>
        <w:snapToGrid w:val="0"/>
        <w:spacing w:after="0" w:line="360" w:lineRule="auto"/>
        <w:ind w:firstLine="420" w:firstLineChars="200"/>
        <w:rPr>
          <w:color w:val="auto"/>
          <w:highlight w:val="none"/>
        </w:rPr>
      </w:pPr>
      <w:r>
        <w:rPr>
          <w:rFonts w:hint="eastAsia"/>
          <w:color w:val="auto"/>
          <w:highlight w:val="none"/>
        </w:rPr>
        <w:t>（一）即时、定期履约评价工作流程：</w:t>
      </w:r>
    </w:p>
    <w:p>
      <w:pPr>
        <w:pStyle w:val="4"/>
        <w:adjustRightInd w:val="0"/>
        <w:snapToGrid w:val="0"/>
        <w:spacing w:after="0" w:line="360" w:lineRule="auto"/>
        <w:ind w:firstLine="420" w:firstLineChars="200"/>
        <w:rPr>
          <w:color w:val="auto"/>
          <w:highlight w:val="none"/>
        </w:rPr>
      </w:pPr>
      <w:r>
        <w:rPr>
          <w:rFonts w:hint="eastAsia"/>
          <w:color w:val="auto"/>
          <w:highlight w:val="none"/>
        </w:rPr>
        <w:t>1.每半年度结束后的下一个月（年度内7月及下年度的1月）10号前各工作组应完成项目合同定期履约评价评分，并将评分结果报项目所在部门正职审核。即时履约评价不受周期限制。</w:t>
      </w:r>
    </w:p>
    <w:p>
      <w:pPr>
        <w:pStyle w:val="4"/>
        <w:adjustRightInd w:val="0"/>
        <w:snapToGrid w:val="0"/>
        <w:spacing w:after="0" w:line="360" w:lineRule="auto"/>
        <w:ind w:firstLine="420" w:firstLineChars="200"/>
        <w:rPr>
          <w:color w:val="auto"/>
          <w:highlight w:val="none"/>
        </w:rPr>
      </w:pPr>
      <w:r>
        <w:rPr>
          <w:rFonts w:hint="eastAsia"/>
          <w:color w:val="auto"/>
          <w:highlight w:val="none"/>
        </w:rPr>
        <w:t>2.履约评价得分报部门正职审核后提交至成本合约部，由成本合约部汇总履约评价得分，并组织领导小组会议。</w:t>
      </w:r>
    </w:p>
    <w:p>
      <w:pPr>
        <w:pStyle w:val="4"/>
        <w:adjustRightInd w:val="0"/>
        <w:snapToGrid w:val="0"/>
        <w:spacing w:after="0" w:line="360" w:lineRule="auto"/>
        <w:ind w:firstLine="420" w:firstLineChars="200"/>
        <w:rPr>
          <w:color w:val="auto"/>
          <w:highlight w:val="none"/>
        </w:rPr>
      </w:pPr>
      <w:r>
        <w:rPr>
          <w:rFonts w:hint="eastAsia"/>
          <w:color w:val="auto"/>
          <w:highlight w:val="none"/>
        </w:rPr>
        <w:t>3.领导小组会议中各参会成员审核项目合同的履约评价评分结果，同时依据工作组反馈的项目情况及日常检查意见对合同的履约评价作出权重占比10%的综合评分。以各参会成员的算术平均分作为领导小组评价得分，按评价计分规则形成履约评价结果。</w:t>
      </w:r>
    </w:p>
    <w:p>
      <w:pPr>
        <w:pStyle w:val="4"/>
        <w:adjustRightInd w:val="0"/>
        <w:snapToGrid w:val="0"/>
        <w:spacing w:after="0" w:line="360" w:lineRule="auto"/>
        <w:ind w:firstLine="420" w:firstLineChars="200"/>
        <w:rPr>
          <w:color w:val="auto"/>
          <w:highlight w:val="none"/>
        </w:rPr>
      </w:pPr>
      <w:r>
        <w:rPr>
          <w:rFonts w:hint="eastAsia"/>
          <w:color w:val="auto"/>
          <w:highlight w:val="none"/>
        </w:rPr>
        <w:t>4.成本合约部汇总履约评价结果，呈OA签批后，在集团官网进行履约评价结果公告。</w:t>
      </w:r>
    </w:p>
    <w:p>
      <w:pPr>
        <w:pStyle w:val="4"/>
        <w:adjustRightInd w:val="0"/>
        <w:snapToGrid w:val="0"/>
        <w:spacing w:after="0" w:line="360" w:lineRule="auto"/>
        <w:ind w:firstLine="420" w:firstLineChars="200"/>
        <w:rPr>
          <w:color w:val="auto"/>
          <w:highlight w:val="none"/>
        </w:rPr>
      </w:pPr>
      <w:r>
        <w:rPr>
          <w:rFonts w:hint="eastAsia"/>
          <w:color w:val="auto"/>
          <w:highlight w:val="none"/>
        </w:rPr>
        <w:t>（二）最终履约评价工作流程：</w:t>
      </w:r>
    </w:p>
    <w:p>
      <w:pPr>
        <w:pStyle w:val="4"/>
        <w:adjustRightInd w:val="0"/>
        <w:snapToGrid w:val="0"/>
        <w:spacing w:after="0" w:line="360" w:lineRule="auto"/>
        <w:ind w:firstLine="420" w:firstLineChars="200"/>
        <w:rPr>
          <w:color w:val="auto"/>
          <w:highlight w:val="none"/>
        </w:rPr>
      </w:pPr>
      <w:r>
        <w:rPr>
          <w:rFonts w:hint="eastAsia"/>
          <w:color w:val="auto"/>
          <w:highlight w:val="none"/>
        </w:rPr>
        <w:t>1.合同履约期满后半年内，各工作组应完成项目合同最终履约评价，并将评价结果报项目所在部门正职审核。其中实行定期履约评价的合同由工作组核实最终加减分项，成本合约部核实历次定期履约评价得分。</w:t>
      </w:r>
    </w:p>
    <w:p>
      <w:pPr>
        <w:pStyle w:val="4"/>
        <w:adjustRightInd w:val="0"/>
        <w:snapToGrid w:val="0"/>
        <w:spacing w:after="0" w:line="360" w:lineRule="auto"/>
        <w:ind w:firstLine="420" w:firstLineChars="200"/>
        <w:rPr>
          <w:color w:val="auto"/>
          <w:highlight w:val="none"/>
        </w:rPr>
      </w:pPr>
      <w:r>
        <w:rPr>
          <w:rFonts w:hint="eastAsia"/>
          <w:color w:val="auto"/>
          <w:highlight w:val="none"/>
        </w:rPr>
        <w:t>2.履约评价结果报部门正职审核后提交至成本合约部，由成本合约部汇总履约评价结果，并组织领导小组会议。</w:t>
      </w:r>
    </w:p>
    <w:p>
      <w:pPr>
        <w:pStyle w:val="4"/>
        <w:adjustRightInd w:val="0"/>
        <w:snapToGrid w:val="0"/>
        <w:spacing w:after="0" w:line="360" w:lineRule="auto"/>
        <w:ind w:firstLine="420" w:firstLineChars="200"/>
        <w:rPr>
          <w:color w:val="auto"/>
          <w:highlight w:val="none"/>
        </w:rPr>
      </w:pPr>
      <w:r>
        <w:rPr>
          <w:rFonts w:hint="eastAsia"/>
          <w:color w:val="auto"/>
          <w:highlight w:val="none"/>
        </w:rPr>
        <w:t>3.领导小组会议中各参会成员依据工作组反馈的项目情况及日常检查意见对合同的最终履约评价结果进行审议。</w:t>
      </w:r>
    </w:p>
    <w:p>
      <w:pPr>
        <w:pStyle w:val="4"/>
        <w:adjustRightInd w:val="0"/>
        <w:snapToGrid w:val="0"/>
        <w:spacing w:after="0" w:line="360" w:lineRule="auto"/>
        <w:ind w:firstLine="420" w:firstLineChars="200"/>
        <w:rPr>
          <w:color w:val="auto"/>
          <w:highlight w:val="none"/>
        </w:rPr>
      </w:pPr>
      <w:r>
        <w:rPr>
          <w:rFonts w:hint="eastAsia"/>
          <w:color w:val="auto"/>
          <w:highlight w:val="none"/>
        </w:rPr>
        <w:t>4.成本合约部汇总履约评价结果，呈OA签批后，在集团官网进行履约评价结果公告。</w:t>
      </w:r>
    </w:p>
    <w:p>
      <w:pPr>
        <w:pStyle w:val="4"/>
        <w:adjustRightInd w:val="0"/>
        <w:snapToGrid w:val="0"/>
        <w:spacing w:after="0" w:line="360" w:lineRule="auto"/>
        <w:ind w:firstLine="420" w:firstLineChars="200"/>
        <w:rPr>
          <w:color w:val="auto"/>
          <w:highlight w:val="none"/>
        </w:rPr>
      </w:pPr>
      <w:r>
        <w:rPr>
          <w:rFonts w:hint="eastAsia"/>
          <w:color w:val="auto"/>
          <w:highlight w:val="none"/>
        </w:rPr>
        <w:t>第五章履约评价结果的应用</w:t>
      </w:r>
    </w:p>
    <w:p>
      <w:pPr>
        <w:pStyle w:val="4"/>
        <w:adjustRightInd w:val="0"/>
        <w:snapToGrid w:val="0"/>
        <w:spacing w:after="0" w:line="360" w:lineRule="auto"/>
        <w:ind w:firstLine="420" w:firstLineChars="200"/>
        <w:rPr>
          <w:color w:val="auto"/>
          <w:highlight w:val="none"/>
        </w:rPr>
      </w:pPr>
      <w:r>
        <w:rPr>
          <w:rFonts w:hint="eastAsia"/>
          <w:color w:val="auto"/>
          <w:highlight w:val="none"/>
        </w:rPr>
        <w:t>第十四条履约评价结果应用</w:t>
      </w:r>
    </w:p>
    <w:p>
      <w:pPr>
        <w:pStyle w:val="4"/>
        <w:adjustRightInd w:val="0"/>
        <w:snapToGrid w:val="0"/>
        <w:spacing w:after="0" w:line="360" w:lineRule="auto"/>
        <w:ind w:firstLine="420" w:firstLineChars="200"/>
        <w:rPr>
          <w:color w:val="auto"/>
          <w:highlight w:val="none"/>
        </w:rPr>
      </w:pPr>
      <w:r>
        <w:rPr>
          <w:rFonts w:hint="eastAsia"/>
          <w:color w:val="auto"/>
          <w:highlight w:val="none"/>
        </w:rPr>
        <w:t>（一）在符合相关法律、法规及招标文件要求的前提下，履约评价结果可作为集团后续项目入围及定标择优要素。其中定期履约评价等级为优秀的履约单位，由集团书面通报表扬，且定期履约评价等级优秀的履约单位优先推荐为年度先进集体。</w:t>
      </w:r>
    </w:p>
    <w:p>
      <w:pPr>
        <w:pStyle w:val="4"/>
        <w:adjustRightInd w:val="0"/>
        <w:snapToGrid w:val="0"/>
        <w:spacing w:after="0" w:line="360" w:lineRule="auto"/>
        <w:ind w:firstLine="420" w:firstLineChars="200"/>
        <w:rPr>
          <w:color w:val="auto"/>
          <w:highlight w:val="none"/>
        </w:rPr>
      </w:pPr>
      <w:r>
        <w:rPr>
          <w:rFonts w:hint="eastAsia"/>
          <w:color w:val="auto"/>
          <w:highlight w:val="none"/>
        </w:rPr>
        <w:t>（二）凡履约评价为不合格的单位，给予一定的处罚或根据《深圳市人民政府印发关于建设工程招标投标改革若干规定的通知》（深府〔2015〕73号）的有关规定，不接受其在一定时期内参与集团项目投标（限制期在截标前已经生效的，应当不接受其参与集团项目投标），具体如下：</w:t>
      </w:r>
    </w:p>
    <w:p>
      <w:pPr>
        <w:pStyle w:val="4"/>
        <w:adjustRightInd w:val="0"/>
        <w:snapToGrid w:val="0"/>
        <w:spacing w:after="0" w:line="360" w:lineRule="auto"/>
        <w:ind w:firstLine="420" w:firstLineChars="200"/>
        <w:rPr>
          <w:color w:val="auto"/>
          <w:highlight w:val="none"/>
        </w:rPr>
      </w:pPr>
      <w:r>
        <w:rPr>
          <w:rFonts w:hint="eastAsia"/>
          <w:color w:val="auto"/>
          <w:highlight w:val="none"/>
        </w:rPr>
        <w:t>1.即时履约评价不合格的履约单位，按其定期履约评价不合格进行处罚，与对应当期的定期履约评价不合格不进行重复处罚，但若被政府相关部门处罚则按政府相关部门要求执行。</w:t>
      </w:r>
    </w:p>
    <w:p>
      <w:pPr>
        <w:pStyle w:val="4"/>
        <w:adjustRightInd w:val="0"/>
        <w:snapToGrid w:val="0"/>
        <w:spacing w:after="0" w:line="360" w:lineRule="auto"/>
        <w:ind w:firstLine="420" w:firstLineChars="200"/>
        <w:rPr>
          <w:color w:val="auto"/>
          <w:highlight w:val="none"/>
        </w:rPr>
      </w:pPr>
      <w:r>
        <w:rPr>
          <w:rFonts w:hint="eastAsia"/>
          <w:color w:val="auto"/>
          <w:highlight w:val="none"/>
        </w:rPr>
        <w:t>2.定期履约评价不合格的履约单位，按不同类别合同进行处罚(罚款自履约评价结果公告后下一次进度款申请中予以扣除)，具体处罚金额如下:</w:t>
      </w:r>
    </w:p>
    <w:p>
      <w:pPr>
        <w:pStyle w:val="4"/>
        <w:adjustRightInd w:val="0"/>
        <w:snapToGrid w:val="0"/>
        <w:spacing w:after="0" w:line="360" w:lineRule="auto"/>
        <w:ind w:firstLine="420" w:firstLineChars="200"/>
        <w:rPr>
          <w:color w:val="auto"/>
          <w:highlight w:val="none"/>
        </w:rPr>
      </w:pPr>
      <w:r>
        <w:rPr>
          <w:rFonts w:hint="eastAsia"/>
          <w:color w:val="auto"/>
          <w:highlight w:val="none"/>
        </w:rPr>
        <w:t>（1）合同金额≤200万元的，罚款2万元；</w:t>
      </w:r>
    </w:p>
    <w:p>
      <w:pPr>
        <w:pStyle w:val="4"/>
        <w:adjustRightInd w:val="0"/>
        <w:snapToGrid w:val="0"/>
        <w:spacing w:after="0" w:line="360" w:lineRule="auto"/>
        <w:ind w:firstLine="420" w:firstLineChars="200"/>
        <w:rPr>
          <w:color w:val="auto"/>
          <w:highlight w:val="none"/>
        </w:rPr>
      </w:pPr>
      <w:r>
        <w:rPr>
          <w:rFonts w:hint="eastAsia"/>
          <w:color w:val="auto"/>
          <w:highlight w:val="none"/>
        </w:rPr>
        <w:t>（2）200万元＜合同金额≤1000万元，罚款5万元；</w:t>
      </w:r>
    </w:p>
    <w:p>
      <w:pPr>
        <w:pStyle w:val="4"/>
        <w:adjustRightInd w:val="0"/>
        <w:snapToGrid w:val="0"/>
        <w:spacing w:after="0" w:line="360" w:lineRule="auto"/>
        <w:ind w:firstLine="420" w:firstLineChars="200"/>
        <w:rPr>
          <w:color w:val="auto"/>
          <w:highlight w:val="none"/>
        </w:rPr>
      </w:pPr>
      <w:r>
        <w:rPr>
          <w:rFonts w:hint="eastAsia"/>
          <w:color w:val="auto"/>
          <w:highlight w:val="none"/>
        </w:rPr>
        <w:t>（3）1000万元＜合同金额≤1亿元，罚款10万元；</w:t>
      </w:r>
    </w:p>
    <w:p>
      <w:pPr>
        <w:pStyle w:val="4"/>
        <w:adjustRightInd w:val="0"/>
        <w:snapToGrid w:val="0"/>
        <w:spacing w:after="0" w:line="360" w:lineRule="auto"/>
        <w:ind w:firstLine="420" w:firstLineChars="200"/>
        <w:rPr>
          <w:color w:val="auto"/>
          <w:highlight w:val="none"/>
        </w:rPr>
      </w:pPr>
      <w:r>
        <w:rPr>
          <w:rFonts w:hint="eastAsia"/>
          <w:color w:val="auto"/>
          <w:highlight w:val="none"/>
        </w:rPr>
        <w:t>（4）1亿元＜合同金额≤5亿元，罚款15万元；</w:t>
      </w:r>
    </w:p>
    <w:p>
      <w:pPr>
        <w:pStyle w:val="4"/>
        <w:adjustRightInd w:val="0"/>
        <w:snapToGrid w:val="0"/>
        <w:spacing w:after="0" w:line="360" w:lineRule="auto"/>
        <w:ind w:firstLine="420" w:firstLineChars="200"/>
        <w:rPr>
          <w:color w:val="auto"/>
          <w:highlight w:val="none"/>
        </w:rPr>
      </w:pPr>
      <w:r>
        <w:rPr>
          <w:rFonts w:hint="eastAsia"/>
          <w:color w:val="auto"/>
          <w:highlight w:val="none"/>
        </w:rPr>
        <w:t>（5）合同金额＞5亿元的，罚款20万元。</w:t>
      </w:r>
    </w:p>
    <w:p>
      <w:pPr>
        <w:pStyle w:val="4"/>
        <w:adjustRightInd w:val="0"/>
        <w:snapToGrid w:val="0"/>
        <w:spacing w:after="0" w:line="360" w:lineRule="auto"/>
        <w:ind w:firstLine="420" w:firstLineChars="200"/>
        <w:rPr>
          <w:color w:val="auto"/>
          <w:highlight w:val="none"/>
        </w:rPr>
      </w:pPr>
      <w:r>
        <w:rPr>
          <w:rFonts w:hint="eastAsia"/>
          <w:color w:val="auto"/>
          <w:highlight w:val="none"/>
        </w:rPr>
        <w:t>3.即时履约评价不合格的履约单位，自即时履约评价结果公告起，三个月内不接受其参加集团项目的投标或承接新的工程；</w:t>
      </w:r>
    </w:p>
    <w:p>
      <w:pPr>
        <w:pStyle w:val="4"/>
        <w:adjustRightInd w:val="0"/>
        <w:snapToGrid w:val="0"/>
        <w:spacing w:after="0" w:line="360" w:lineRule="auto"/>
        <w:ind w:firstLine="420" w:firstLineChars="200"/>
        <w:rPr>
          <w:color w:val="auto"/>
          <w:highlight w:val="none"/>
        </w:rPr>
      </w:pPr>
      <w:r>
        <w:rPr>
          <w:rFonts w:hint="eastAsia"/>
          <w:color w:val="auto"/>
          <w:highlight w:val="none"/>
        </w:rPr>
        <w:t>4.定期履约评价不合格的履约单位，自定期履约评价结果公告起，三个月内不接受其参加集团项目的投标或承接新的工程；</w:t>
      </w:r>
    </w:p>
    <w:p>
      <w:pPr>
        <w:pStyle w:val="4"/>
        <w:adjustRightInd w:val="0"/>
        <w:snapToGrid w:val="0"/>
        <w:spacing w:after="0" w:line="360" w:lineRule="auto"/>
        <w:ind w:firstLine="420" w:firstLineChars="200"/>
        <w:rPr>
          <w:color w:val="auto"/>
          <w:highlight w:val="none"/>
        </w:rPr>
      </w:pPr>
      <w:r>
        <w:rPr>
          <w:rFonts w:hint="eastAsia"/>
          <w:color w:val="auto"/>
          <w:highlight w:val="none"/>
        </w:rPr>
        <w:t>5.最终履约评价不合格的履约单位，自最终履约评价结果公告起，三年内不接受其参加集团项目的投标或承接新的工程。</w:t>
      </w:r>
    </w:p>
    <w:p>
      <w:pPr>
        <w:pStyle w:val="4"/>
        <w:adjustRightInd w:val="0"/>
        <w:snapToGrid w:val="0"/>
        <w:spacing w:after="0" w:line="360" w:lineRule="auto"/>
        <w:ind w:firstLine="420" w:firstLineChars="200"/>
        <w:rPr>
          <w:color w:val="auto"/>
          <w:highlight w:val="none"/>
        </w:rPr>
      </w:pPr>
      <w:r>
        <w:rPr>
          <w:rFonts w:hint="eastAsia"/>
          <w:color w:val="auto"/>
          <w:highlight w:val="none"/>
        </w:rPr>
        <w:t>第六章附则</w:t>
      </w:r>
    </w:p>
    <w:p>
      <w:pPr>
        <w:pStyle w:val="4"/>
        <w:adjustRightInd w:val="0"/>
        <w:snapToGrid w:val="0"/>
        <w:spacing w:after="0" w:line="360" w:lineRule="auto"/>
        <w:ind w:firstLine="420" w:firstLineChars="200"/>
        <w:rPr>
          <w:color w:val="auto"/>
          <w:highlight w:val="none"/>
        </w:rPr>
      </w:pPr>
      <w:r>
        <w:rPr>
          <w:rFonts w:hint="eastAsia"/>
          <w:color w:val="auto"/>
          <w:highlight w:val="none"/>
        </w:rPr>
        <w:t>第十五条本办法所称以上含本数，以下不含本数。</w:t>
      </w:r>
    </w:p>
    <w:p>
      <w:pPr>
        <w:pStyle w:val="4"/>
        <w:adjustRightInd w:val="0"/>
        <w:snapToGrid w:val="0"/>
        <w:spacing w:after="0" w:line="360" w:lineRule="auto"/>
        <w:ind w:firstLine="420" w:firstLineChars="200"/>
        <w:rPr>
          <w:color w:val="auto"/>
          <w:highlight w:val="none"/>
        </w:rPr>
      </w:pPr>
      <w:r>
        <w:rPr>
          <w:rFonts w:hint="eastAsia"/>
          <w:color w:val="auto"/>
          <w:highlight w:val="none"/>
        </w:rPr>
        <w:t>第十六条本办法授权成本合约部负责解释。</w:t>
      </w:r>
    </w:p>
    <w:p>
      <w:pPr>
        <w:pStyle w:val="4"/>
        <w:adjustRightInd w:val="0"/>
        <w:snapToGrid w:val="0"/>
        <w:spacing w:after="0" w:line="360" w:lineRule="auto"/>
        <w:ind w:firstLine="420" w:firstLineChars="200"/>
        <w:rPr>
          <w:color w:val="auto"/>
          <w:highlight w:val="none"/>
        </w:rPr>
      </w:pPr>
      <w:r>
        <w:rPr>
          <w:rFonts w:hint="eastAsia"/>
          <w:color w:val="auto"/>
          <w:highlight w:val="none"/>
        </w:rPr>
        <w:t>第十七条本办法自印发之日起施行。</w:t>
      </w:r>
    </w:p>
    <w:p>
      <w:pPr>
        <w:pStyle w:val="4"/>
        <w:adjustRightInd w:val="0"/>
        <w:snapToGrid w:val="0"/>
        <w:spacing w:after="0" w:line="360" w:lineRule="auto"/>
        <w:ind w:firstLine="420" w:firstLineChars="200"/>
        <w:rPr>
          <w:color w:val="auto"/>
          <w:highlight w:val="none"/>
        </w:rPr>
      </w:pPr>
    </w:p>
    <w:p>
      <w:pPr>
        <w:pStyle w:val="4"/>
        <w:adjustRightInd w:val="0"/>
        <w:snapToGrid w:val="0"/>
        <w:spacing w:after="0" w:line="360" w:lineRule="auto"/>
        <w:ind w:firstLine="420" w:firstLineChars="200"/>
        <w:rPr>
          <w:color w:val="auto"/>
          <w:highlight w:val="none"/>
        </w:rPr>
      </w:pPr>
      <w:r>
        <w:rPr>
          <w:rFonts w:hint="eastAsia"/>
          <w:color w:val="auto"/>
          <w:highlight w:val="none"/>
        </w:rPr>
        <w:t>附件：1.各类合同各阶段履约评价分工一览表</w:t>
      </w:r>
    </w:p>
    <w:p>
      <w:pPr>
        <w:pStyle w:val="4"/>
        <w:adjustRightInd w:val="0"/>
        <w:snapToGrid w:val="0"/>
        <w:spacing w:after="0" w:line="360" w:lineRule="auto"/>
        <w:ind w:firstLine="420" w:firstLineChars="200"/>
        <w:rPr>
          <w:color w:val="auto"/>
          <w:highlight w:val="none"/>
        </w:rPr>
      </w:pPr>
      <w:r>
        <w:rPr>
          <w:rFonts w:hint="eastAsia"/>
          <w:color w:val="auto"/>
          <w:highlight w:val="none"/>
        </w:rPr>
        <w:t>2.履约评价工作流程图</w:t>
      </w:r>
    </w:p>
    <w:p>
      <w:pPr>
        <w:pStyle w:val="4"/>
        <w:adjustRightInd w:val="0"/>
        <w:snapToGrid w:val="0"/>
        <w:spacing w:after="0" w:line="360" w:lineRule="auto"/>
        <w:ind w:firstLine="420" w:firstLineChars="200"/>
        <w:rPr>
          <w:color w:val="auto"/>
          <w:highlight w:val="none"/>
        </w:rPr>
      </w:pPr>
      <w:r>
        <w:rPr>
          <w:rFonts w:hint="eastAsia"/>
          <w:color w:val="auto"/>
          <w:highlight w:val="none"/>
        </w:rPr>
        <w:t>3.合同履约评价报告（模板）</w:t>
      </w:r>
    </w:p>
    <w:p>
      <w:pPr>
        <w:pStyle w:val="4"/>
        <w:adjustRightInd w:val="0"/>
        <w:snapToGrid w:val="0"/>
        <w:spacing w:after="0" w:line="360" w:lineRule="auto"/>
        <w:ind w:firstLine="420" w:firstLineChars="200"/>
        <w:rPr>
          <w:color w:val="auto"/>
          <w:highlight w:val="none"/>
        </w:rPr>
      </w:pPr>
      <w:r>
        <w:rPr>
          <w:rFonts w:hint="eastAsia"/>
          <w:color w:val="auto"/>
          <w:highlight w:val="none"/>
        </w:rPr>
        <w:t>4.建设工程合同履约评价细则</w:t>
      </w:r>
    </w:p>
    <w:p>
      <w:pPr>
        <w:rPr>
          <w:color w:val="auto"/>
          <w:highlight w:val="none"/>
        </w:rPr>
      </w:pPr>
      <w:r>
        <w:rPr>
          <w:rFonts w:hint="eastAsia"/>
          <w:color w:val="auto"/>
          <w:highlight w:val="none"/>
        </w:rPr>
        <w:br w:type="page"/>
      </w:r>
    </w:p>
    <w:p>
      <w:pPr>
        <w:pStyle w:val="4"/>
        <w:adjustRightInd w:val="0"/>
        <w:snapToGrid w:val="0"/>
        <w:spacing w:after="0" w:line="360" w:lineRule="auto"/>
        <w:ind w:firstLine="420" w:firstLineChars="200"/>
        <w:rPr>
          <w:color w:val="auto"/>
          <w:highlight w:val="none"/>
        </w:rPr>
        <w:sectPr>
          <w:footerReference r:id="rId3" w:type="default"/>
          <w:pgSz w:w="11906" w:h="16838"/>
          <w:pgMar w:top="1134" w:right="1134" w:bottom="1134" w:left="1134" w:header="1247" w:footer="737" w:gutter="0"/>
          <w:cols w:space="720" w:num="1"/>
          <w:docGrid w:linePitch="380" w:charSpace="-4301"/>
        </w:sectPr>
      </w:pPr>
    </w:p>
    <w:p>
      <w:pPr>
        <w:shd w:val="solid" w:color="FFFFFF" w:fill="auto"/>
        <w:autoSpaceDN w:val="0"/>
        <w:spacing w:line="440" w:lineRule="exact"/>
        <w:rPr>
          <w:rFonts w:eastAsia="方正小标宋简体"/>
          <w:color w:val="auto"/>
          <w:sz w:val="32"/>
          <w:szCs w:val="32"/>
          <w:highlight w:val="none"/>
        </w:rPr>
      </w:pPr>
      <w:r>
        <w:rPr>
          <w:rFonts w:hint="eastAsia" w:ascii="仿宋_GB2312" w:hAnsi="仿宋_GB2312" w:eastAsia="仿宋_GB2312" w:cs="仿宋_GB2312"/>
          <w:color w:val="auto"/>
          <w:kern w:val="0"/>
          <w:sz w:val="32"/>
          <w:szCs w:val="36"/>
          <w:highlight w:val="none"/>
          <w:lang w:val="zh-CN" w:bidi="zh-CN"/>
        </w:rPr>
        <w:t>附表：</w:t>
      </w:r>
      <w:r>
        <w:rPr>
          <w:rFonts w:eastAsia="方正小标宋简体"/>
          <w:color w:val="auto"/>
          <w:sz w:val="32"/>
          <w:szCs w:val="32"/>
          <w:highlight w:val="none"/>
        </w:rPr>
        <w:t>设计合同</w:t>
      </w:r>
      <w:r>
        <w:rPr>
          <w:rFonts w:hint="eastAsia" w:eastAsia="方正小标宋简体"/>
          <w:color w:val="auto"/>
          <w:sz w:val="32"/>
          <w:szCs w:val="32"/>
          <w:highlight w:val="none"/>
        </w:rPr>
        <w:t>季度</w:t>
      </w:r>
      <w:r>
        <w:rPr>
          <w:rFonts w:eastAsia="方正小标宋简体"/>
          <w:color w:val="auto"/>
          <w:sz w:val="32"/>
          <w:szCs w:val="32"/>
          <w:highlight w:val="none"/>
        </w:rPr>
        <w:t>履约评价评分表</w:t>
      </w:r>
    </w:p>
    <w:tbl>
      <w:tblPr>
        <w:tblStyle w:val="7"/>
        <w:tblpPr w:leftFromText="180" w:rightFromText="180" w:vertAnchor="text" w:horzAnchor="page" w:tblpXSpec="center" w:tblpY="185"/>
        <w:tblOverlap w:val="never"/>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165"/>
        <w:gridCol w:w="1354"/>
        <w:gridCol w:w="597"/>
        <w:gridCol w:w="9160"/>
        <w:gridCol w:w="97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565" w:type="dxa"/>
            <w:gridSpan w:val="7"/>
            <w:vAlign w:val="center"/>
          </w:tcPr>
          <w:p>
            <w:pPr>
              <w:pStyle w:val="11"/>
              <w:ind w:firstLine="219" w:firstLineChars="104"/>
              <w:rPr>
                <w:b/>
                <w:bCs/>
                <w:color w:val="auto"/>
                <w:kern w:val="0"/>
                <w:szCs w:val="21"/>
                <w:highlight w:val="none"/>
              </w:rPr>
            </w:pPr>
            <w:r>
              <w:rPr>
                <w:b/>
                <w:bCs/>
                <w:color w:val="auto"/>
                <w:kern w:val="0"/>
                <w:szCs w:val="21"/>
                <w:highlight w:val="none"/>
              </w:rPr>
              <w:t>合同名称：总得分：</w:t>
            </w:r>
          </w:p>
          <w:p>
            <w:pPr>
              <w:pStyle w:val="11"/>
              <w:ind w:firstLine="219" w:firstLineChars="104"/>
              <w:rPr>
                <w:b/>
                <w:bCs/>
                <w:color w:val="auto"/>
                <w:kern w:val="0"/>
                <w:szCs w:val="21"/>
                <w:highlight w:val="none"/>
              </w:rPr>
            </w:pPr>
          </w:p>
          <w:p>
            <w:pPr>
              <w:pStyle w:val="11"/>
              <w:ind w:firstLine="219" w:firstLineChars="104"/>
              <w:rPr>
                <w:color w:val="auto"/>
                <w:szCs w:val="21"/>
                <w:highlight w:val="none"/>
              </w:rPr>
            </w:pPr>
            <w:r>
              <w:rPr>
                <w:b/>
                <w:bCs/>
                <w:color w:val="auto"/>
                <w:szCs w:val="21"/>
                <w:highlight w:val="none"/>
              </w:rPr>
              <w:t>评价等级：</w:t>
            </w:r>
            <w:r>
              <w:rPr>
                <w:color w:val="auto"/>
                <w:szCs w:val="21"/>
                <w:highlight w:val="none"/>
              </w:rPr>
              <w:t>□优秀  □良好  □合格  □不合格　　</w:t>
            </w:r>
            <w:r>
              <w:rPr>
                <w:b/>
                <w:bCs/>
                <w:color w:val="auto"/>
                <w:szCs w:val="21"/>
                <w:highlight w:val="none"/>
              </w:rPr>
              <w:t>评价时间：</w:t>
            </w:r>
            <w:r>
              <w:rPr>
                <w:color w:val="auto"/>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Align w:val="center"/>
          </w:tcPr>
          <w:p>
            <w:pPr>
              <w:pStyle w:val="11"/>
              <w:spacing w:line="200" w:lineRule="exact"/>
              <w:jc w:val="center"/>
              <w:rPr>
                <w:rFonts w:eastAsia="黑体"/>
                <w:color w:val="auto"/>
                <w:kern w:val="0"/>
                <w:szCs w:val="21"/>
                <w:highlight w:val="none"/>
              </w:rPr>
            </w:pPr>
            <w:r>
              <w:rPr>
                <w:rFonts w:eastAsia="黑体"/>
                <w:color w:val="auto"/>
                <w:kern w:val="0"/>
                <w:szCs w:val="21"/>
                <w:highlight w:val="none"/>
              </w:rPr>
              <w:t>序号</w:t>
            </w:r>
          </w:p>
        </w:tc>
        <w:tc>
          <w:tcPr>
            <w:tcW w:w="2519" w:type="dxa"/>
            <w:gridSpan w:val="2"/>
            <w:vAlign w:val="center"/>
          </w:tcPr>
          <w:p>
            <w:pPr>
              <w:pStyle w:val="11"/>
              <w:spacing w:line="200" w:lineRule="exact"/>
              <w:jc w:val="center"/>
              <w:rPr>
                <w:rFonts w:eastAsia="黑体"/>
                <w:color w:val="auto"/>
                <w:kern w:val="0"/>
                <w:szCs w:val="21"/>
                <w:highlight w:val="none"/>
              </w:rPr>
            </w:pPr>
            <w:r>
              <w:rPr>
                <w:rFonts w:eastAsia="黑体"/>
                <w:color w:val="auto"/>
                <w:kern w:val="0"/>
                <w:szCs w:val="21"/>
                <w:highlight w:val="none"/>
              </w:rPr>
              <w:t>分项内容</w:t>
            </w:r>
          </w:p>
        </w:tc>
        <w:tc>
          <w:tcPr>
            <w:tcW w:w="597" w:type="dxa"/>
            <w:vAlign w:val="center"/>
          </w:tcPr>
          <w:p>
            <w:pPr>
              <w:pStyle w:val="11"/>
              <w:spacing w:line="200" w:lineRule="exact"/>
              <w:jc w:val="center"/>
              <w:rPr>
                <w:rFonts w:eastAsia="黑体"/>
                <w:color w:val="auto"/>
                <w:kern w:val="0"/>
                <w:szCs w:val="21"/>
                <w:highlight w:val="none"/>
              </w:rPr>
            </w:pPr>
            <w:r>
              <w:rPr>
                <w:rFonts w:eastAsia="黑体"/>
                <w:color w:val="auto"/>
                <w:kern w:val="0"/>
                <w:szCs w:val="21"/>
                <w:highlight w:val="none"/>
              </w:rPr>
              <w:t>分值</w:t>
            </w:r>
          </w:p>
        </w:tc>
        <w:tc>
          <w:tcPr>
            <w:tcW w:w="9160" w:type="dxa"/>
            <w:vAlign w:val="center"/>
          </w:tcPr>
          <w:p>
            <w:pPr>
              <w:pStyle w:val="11"/>
              <w:spacing w:line="200" w:lineRule="exact"/>
              <w:jc w:val="center"/>
              <w:rPr>
                <w:rFonts w:eastAsia="黑体"/>
                <w:color w:val="auto"/>
                <w:kern w:val="0"/>
                <w:szCs w:val="21"/>
                <w:highlight w:val="none"/>
              </w:rPr>
            </w:pPr>
            <w:r>
              <w:rPr>
                <w:rFonts w:eastAsia="黑体"/>
                <w:color w:val="auto"/>
                <w:kern w:val="0"/>
                <w:szCs w:val="21"/>
                <w:highlight w:val="none"/>
              </w:rPr>
              <w:t>评价指标</w:t>
            </w:r>
          </w:p>
        </w:tc>
        <w:tc>
          <w:tcPr>
            <w:tcW w:w="972" w:type="dxa"/>
            <w:vAlign w:val="center"/>
          </w:tcPr>
          <w:p>
            <w:pPr>
              <w:pStyle w:val="11"/>
              <w:spacing w:line="200" w:lineRule="exact"/>
              <w:jc w:val="center"/>
              <w:rPr>
                <w:rFonts w:eastAsia="黑体"/>
                <w:color w:val="auto"/>
                <w:kern w:val="0"/>
                <w:szCs w:val="21"/>
                <w:highlight w:val="none"/>
              </w:rPr>
            </w:pPr>
            <w:r>
              <w:rPr>
                <w:rFonts w:hint="eastAsia" w:eastAsia="黑体"/>
                <w:color w:val="auto"/>
                <w:kern w:val="0"/>
                <w:szCs w:val="21"/>
                <w:highlight w:val="none"/>
              </w:rPr>
              <w:t>扣除分</w:t>
            </w:r>
          </w:p>
        </w:tc>
        <w:tc>
          <w:tcPr>
            <w:tcW w:w="825" w:type="dxa"/>
            <w:vAlign w:val="center"/>
          </w:tcPr>
          <w:p>
            <w:pPr>
              <w:pStyle w:val="11"/>
              <w:spacing w:line="200" w:lineRule="exact"/>
              <w:jc w:val="center"/>
              <w:rPr>
                <w:rFonts w:eastAsia="黑体"/>
                <w:color w:val="auto"/>
                <w:kern w:val="0"/>
                <w:szCs w:val="21"/>
                <w:highlight w:val="none"/>
              </w:rPr>
            </w:pPr>
            <w:r>
              <w:rPr>
                <w:rFonts w:eastAsia="黑体"/>
                <w:color w:val="auto"/>
                <w:kern w:val="0"/>
                <w:szCs w:val="21"/>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pStyle w:val="11"/>
              <w:jc w:val="center"/>
              <w:rPr>
                <w:rFonts w:eastAsia="黑体"/>
                <w:color w:val="auto"/>
                <w:kern w:val="0"/>
                <w:szCs w:val="21"/>
                <w:highlight w:val="none"/>
              </w:rPr>
            </w:pPr>
            <w:r>
              <w:rPr>
                <w:rFonts w:hint="eastAsia" w:eastAsia="黑体"/>
                <w:color w:val="auto"/>
                <w:kern w:val="0"/>
                <w:szCs w:val="21"/>
                <w:highlight w:val="none"/>
              </w:rPr>
              <w:t>一</w:t>
            </w:r>
          </w:p>
        </w:tc>
        <w:tc>
          <w:tcPr>
            <w:tcW w:w="2519" w:type="dxa"/>
            <w:gridSpan w:val="2"/>
            <w:vMerge w:val="restart"/>
            <w:vAlign w:val="center"/>
          </w:tcPr>
          <w:p>
            <w:pPr>
              <w:pStyle w:val="11"/>
              <w:jc w:val="center"/>
              <w:rPr>
                <w:b/>
                <w:color w:val="auto"/>
                <w:kern w:val="0"/>
                <w:szCs w:val="21"/>
                <w:highlight w:val="none"/>
              </w:rPr>
            </w:pPr>
            <w:r>
              <w:rPr>
                <w:b/>
                <w:color w:val="auto"/>
                <w:kern w:val="0"/>
                <w:szCs w:val="21"/>
                <w:highlight w:val="none"/>
              </w:rPr>
              <w:t>直接评定为</w:t>
            </w:r>
          </w:p>
          <w:p>
            <w:pPr>
              <w:pStyle w:val="11"/>
              <w:jc w:val="center"/>
              <w:rPr>
                <w:b/>
                <w:color w:val="auto"/>
                <w:kern w:val="0"/>
                <w:szCs w:val="21"/>
                <w:highlight w:val="none"/>
              </w:rPr>
            </w:pPr>
            <w:r>
              <w:rPr>
                <w:b/>
                <w:color w:val="auto"/>
                <w:kern w:val="0"/>
                <w:szCs w:val="21"/>
                <w:highlight w:val="none"/>
              </w:rPr>
              <w:t>不合格的情形</w:t>
            </w:r>
          </w:p>
          <w:p>
            <w:pPr>
              <w:pStyle w:val="11"/>
              <w:jc w:val="center"/>
              <w:rPr>
                <w:b/>
                <w:color w:val="auto"/>
                <w:kern w:val="0"/>
                <w:szCs w:val="21"/>
                <w:highlight w:val="none"/>
              </w:rPr>
            </w:pPr>
            <w:r>
              <w:rPr>
                <w:rFonts w:hint="eastAsia"/>
                <w:b/>
                <w:color w:val="auto"/>
                <w:kern w:val="0"/>
                <w:szCs w:val="21"/>
                <w:highlight w:val="none"/>
              </w:rPr>
              <w:t>（满足任意一项）</w:t>
            </w:r>
          </w:p>
        </w:tc>
        <w:tc>
          <w:tcPr>
            <w:tcW w:w="597" w:type="dxa"/>
            <w:vMerge w:val="restart"/>
            <w:vAlign w:val="center"/>
          </w:tcPr>
          <w:p>
            <w:pPr>
              <w:pStyle w:val="11"/>
              <w:jc w:val="center"/>
              <w:rPr>
                <w:rFonts w:eastAsia="黑体"/>
                <w:color w:val="auto"/>
                <w:kern w:val="0"/>
                <w:szCs w:val="21"/>
                <w:highlight w:val="none"/>
              </w:rPr>
            </w:pPr>
            <w:r>
              <w:rPr>
                <w:color w:val="auto"/>
                <w:kern w:val="0"/>
                <w:szCs w:val="21"/>
                <w:highlight w:val="none"/>
              </w:rPr>
              <w:t>/</w:t>
            </w:r>
          </w:p>
        </w:tc>
        <w:tc>
          <w:tcPr>
            <w:tcW w:w="9160" w:type="dxa"/>
            <w:vAlign w:val="center"/>
          </w:tcPr>
          <w:p>
            <w:pPr>
              <w:pStyle w:val="11"/>
              <w:jc w:val="left"/>
              <w:rPr>
                <w:rFonts w:ascii="宋体" w:hAnsi="宋体" w:cs="宋体"/>
                <w:color w:val="auto"/>
                <w:kern w:val="0"/>
                <w:szCs w:val="21"/>
                <w:highlight w:val="none"/>
              </w:rPr>
            </w:pPr>
            <w:r>
              <w:rPr>
                <w:rFonts w:hint="eastAsia" w:ascii="宋体" w:hAnsi="宋体" w:cs="宋体"/>
                <w:color w:val="auto"/>
                <w:kern w:val="0"/>
                <w:szCs w:val="21"/>
                <w:highlight w:val="none"/>
              </w:rPr>
              <w:t>1、与施工单位恶意串通，造成业主相关损失。</w:t>
            </w:r>
          </w:p>
        </w:tc>
        <w:tc>
          <w:tcPr>
            <w:tcW w:w="972" w:type="dxa"/>
            <w:vMerge w:val="restart"/>
            <w:vAlign w:val="center"/>
          </w:tcPr>
          <w:p>
            <w:pPr>
              <w:pStyle w:val="11"/>
              <w:jc w:val="center"/>
              <w:rPr>
                <w:rFonts w:eastAsia="黑体"/>
                <w:color w:val="auto"/>
                <w:kern w:val="0"/>
                <w:szCs w:val="21"/>
                <w:highlight w:val="none"/>
              </w:rPr>
            </w:pPr>
            <w:r>
              <w:rPr>
                <w:rFonts w:eastAsia="黑体"/>
                <w:color w:val="auto"/>
                <w:kern w:val="0"/>
                <w:szCs w:val="21"/>
                <w:highlight w:val="none"/>
              </w:rPr>
              <w:t>-40</w:t>
            </w:r>
          </w:p>
        </w:tc>
        <w:tc>
          <w:tcPr>
            <w:tcW w:w="825" w:type="dxa"/>
            <w:vMerge w:val="restart"/>
            <w:vAlign w:val="center"/>
          </w:tcPr>
          <w:p>
            <w:pPr>
              <w:pStyle w:val="11"/>
              <w:jc w:val="center"/>
              <w:rPr>
                <w:rFonts w:eastAsia="黑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left"/>
              <w:rPr>
                <w:color w:val="auto"/>
                <w:szCs w:val="21"/>
                <w:highlight w:val="none"/>
              </w:rPr>
            </w:pPr>
          </w:p>
        </w:tc>
        <w:tc>
          <w:tcPr>
            <w:tcW w:w="2519" w:type="dxa"/>
            <w:gridSpan w:val="2"/>
            <w:vMerge w:val="continue"/>
            <w:vAlign w:val="center"/>
          </w:tcPr>
          <w:p>
            <w:pPr>
              <w:pStyle w:val="11"/>
              <w:jc w:val="left"/>
              <w:rPr>
                <w:color w:val="auto"/>
                <w:szCs w:val="21"/>
                <w:highlight w:val="none"/>
              </w:rPr>
            </w:pPr>
          </w:p>
        </w:tc>
        <w:tc>
          <w:tcPr>
            <w:tcW w:w="597" w:type="dxa"/>
            <w:vMerge w:val="continue"/>
            <w:vAlign w:val="center"/>
          </w:tcPr>
          <w:p>
            <w:pPr>
              <w:pStyle w:val="11"/>
              <w:jc w:val="left"/>
              <w:rPr>
                <w:color w:val="auto"/>
                <w:szCs w:val="21"/>
                <w:highlight w:val="none"/>
              </w:rPr>
            </w:pPr>
          </w:p>
        </w:tc>
        <w:tc>
          <w:tcPr>
            <w:tcW w:w="9160" w:type="dxa"/>
            <w:vAlign w:val="center"/>
          </w:tcPr>
          <w:p>
            <w:pPr>
              <w:pStyle w:val="11"/>
              <w:jc w:val="left"/>
              <w:rPr>
                <w:rFonts w:ascii="宋体" w:hAnsi="宋体" w:cs="宋体"/>
                <w:color w:val="auto"/>
                <w:kern w:val="0"/>
                <w:szCs w:val="21"/>
                <w:highlight w:val="none"/>
              </w:rPr>
            </w:pPr>
            <w:r>
              <w:rPr>
                <w:rFonts w:hint="eastAsia" w:ascii="宋体" w:hAnsi="宋体" w:cs="宋体"/>
                <w:color w:val="auto"/>
                <w:kern w:val="0"/>
                <w:szCs w:val="21"/>
                <w:highlight w:val="none"/>
              </w:rPr>
              <w:t>2、因设计原因造成重大质量安全事故。</w:t>
            </w:r>
          </w:p>
        </w:tc>
        <w:tc>
          <w:tcPr>
            <w:tcW w:w="972" w:type="dxa"/>
            <w:vMerge w:val="continue"/>
            <w:vAlign w:val="center"/>
          </w:tcPr>
          <w:p>
            <w:pPr>
              <w:pStyle w:val="11"/>
              <w:jc w:val="center"/>
              <w:rPr>
                <w:rFonts w:ascii="宋体" w:hAnsi="宋体" w:cs="宋体"/>
                <w:color w:val="auto"/>
                <w:kern w:val="0"/>
                <w:szCs w:val="21"/>
                <w:highlight w:val="none"/>
              </w:rPr>
            </w:pPr>
          </w:p>
        </w:tc>
        <w:tc>
          <w:tcPr>
            <w:tcW w:w="825" w:type="dxa"/>
            <w:vMerge w:val="continue"/>
            <w:vAlign w:val="center"/>
          </w:tcPr>
          <w:p>
            <w:pPr>
              <w:pStyle w:val="11"/>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left"/>
              <w:rPr>
                <w:rFonts w:ascii="宋体" w:hAnsi="宋体" w:cs="宋体"/>
                <w:color w:val="auto"/>
                <w:kern w:val="0"/>
                <w:szCs w:val="21"/>
                <w:highlight w:val="none"/>
              </w:rPr>
            </w:pPr>
          </w:p>
        </w:tc>
        <w:tc>
          <w:tcPr>
            <w:tcW w:w="2519" w:type="dxa"/>
            <w:gridSpan w:val="2"/>
            <w:vMerge w:val="continue"/>
            <w:vAlign w:val="center"/>
          </w:tcPr>
          <w:p>
            <w:pPr>
              <w:pStyle w:val="11"/>
              <w:jc w:val="left"/>
              <w:rPr>
                <w:rFonts w:ascii="宋体" w:hAnsi="宋体" w:cs="宋体"/>
                <w:color w:val="auto"/>
                <w:kern w:val="0"/>
                <w:szCs w:val="21"/>
                <w:highlight w:val="none"/>
              </w:rPr>
            </w:pPr>
          </w:p>
        </w:tc>
        <w:tc>
          <w:tcPr>
            <w:tcW w:w="597" w:type="dxa"/>
            <w:vMerge w:val="continue"/>
            <w:vAlign w:val="center"/>
          </w:tcPr>
          <w:p>
            <w:pPr>
              <w:pStyle w:val="11"/>
              <w:jc w:val="left"/>
              <w:rPr>
                <w:rFonts w:ascii="宋体" w:hAnsi="宋体" w:cs="宋体"/>
                <w:color w:val="auto"/>
                <w:kern w:val="0"/>
                <w:szCs w:val="21"/>
                <w:highlight w:val="none"/>
              </w:rPr>
            </w:pPr>
          </w:p>
        </w:tc>
        <w:tc>
          <w:tcPr>
            <w:tcW w:w="9160" w:type="dxa"/>
            <w:vAlign w:val="center"/>
          </w:tcPr>
          <w:p>
            <w:pPr>
              <w:pStyle w:val="11"/>
              <w:jc w:val="left"/>
              <w:rPr>
                <w:rFonts w:ascii="宋体" w:hAnsi="宋体" w:cs="宋体"/>
                <w:color w:val="auto"/>
                <w:kern w:val="0"/>
                <w:szCs w:val="21"/>
                <w:highlight w:val="none"/>
              </w:rPr>
            </w:pPr>
            <w:r>
              <w:rPr>
                <w:rFonts w:hint="eastAsia" w:ascii="宋体" w:hAnsi="宋体" w:cs="宋体"/>
                <w:color w:val="auto"/>
                <w:kern w:val="0"/>
                <w:szCs w:val="21"/>
                <w:highlight w:val="none"/>
              </w:rPr>
              <w:t>3、因履约单位原因造成项目节点工期或合同工期严重滞后（指延误30天以上且无有效改进措施）。</w:t>
            </w:r>
          </w:p>
        </w:tc>
        <w:tc>
          <w:tcPr>
            <w:tcW w:w="972" w:type="dxa"/>
            <w:vMerge w:val="continue"/>
            <w:vAlign w:val="center"/>
          </w:tcPr>
          <w:p>
            <w:pPr>
              <w:pStyle w:val="11"/>
              <w:jc w:val="center"/>
              <w:rPr>
                <w:rFonts w:ascii="宋体" w:hAnsi="宋体" w:cs="宋体"/>
                <w:color w:val="auto"/>
                <w:kern w:val="0"/>
                <w:szCs w:val="21"/>
                <w:highlight w:val="none"/>
              </w:rPr>
            </w:pPr>
          </w:p>
        </w:tc>
        <w:tc>
          <w:tcPr>
            <w:tcW w:w="825" w:type="dxa"/>
            <w:vMerge w:val="continue"/>
            <w:vAlign w:val="center"/>
          </w:tcPr>
          <w:p>
            <w:pPr>
              <w:pStyle w:val="11"/>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left"/>
              <w:rPr>
                <w:rFonts w:ascii="宋体" w:hAnsi="宋体" w:cs="宋体"/>
                <w:color w:val="auto"/>
                <w:kern w:val="0"/>
                <w:szCs w:val="21"/>
                <w:highlight w:val="none"/>
              </w:rPr>
            </w:pPr>
          </w:p>
        </w:tc>
        <w:tc>
          <w:tcPr>
            <w:tcW w:w="2519" w:type="dxa"/>
            <w:gridSpan w:val="2"/>
            <w:vMerge w:val="continue"/>
            <w:vAlign w:val="center"/>
          </w:tcPr>
          <w:p>
            <w:pPr>
              <w:pStyle w:val="11"/>
              <w:jc w:val="left"/>
              <w:rPr>
                <w:rFonts w:ascii="宋体" w:hAnsi="宋体" w:cs="宋体"/>
                <w:color w:val="auto"/>
                <w:kern w:val="0"/>
                <w:szCs w:val="21"/>
                <w:highlight w:val="none"/>
              </w:rPr>
            </w:pPr>
          </w:p>
        </w:tc>
        <w:tc>
          <w:tcPr>
            <w:tcW w:w="597" w:type="dxa"/>
            <w:vMerge w:val="continue"/>
            <w:vAlign w:val="center"/>
          </w:tcPr>
          <w:p>
            <w:pPr>
              <w:pStyle w:val="11"/>
              <w:jc w:val="left"/>
              <w:rPr>
                <w:rFonts w:ascii="宋体" w:hAnsi="宋体" w:cs="宋体"/>
                <w:color w:val="auto"/>
                <w:kern w:val="0"/>
                <w:szCs w:val="21"/>
                <w:highlight w:val="none"/>
              </w:rPr>
            </w:pPr>
          </w:p>
        </w:tc>
        <w:tc>
          <w:tcPr>
            <w:tcW w:w="9160" w:type="dxa"/>
            <w:vAlign w:val="center"/>
          </w:tcPr>
          <w:p>
            <w:pPr>
              <w:pStyle w:val="11"/>
              <w:jc w:val="left"/>
              <w:rPr>
                <w:rFonts w:ascii="宋体" w:hAnsi="宋体" w:cs="宋体"/>
                <w:color w:val="auto"/>
                <w:kern w:val="0"/>
                <w:szCs w:val="21"/>
                <w:highlight w:val="none"/>
              </w:rPr>
            </w:pPr>
            <w:r>
              <w:rPr>
                <w:rFonts w:hint="eastAsia" w:ascii="宋体" w:hAnsi="宋体" w:cs="宋体"/>
                <w:color w:val="auto"/>
                <w:kern w:val="0"/>
                <w:szCs w:val="21"/>
                <w:highlight w:val="none"/>
              </w:rPr>
              <w:t>4、因设计原因造成施工期间变更，使工程造价超过施工合同价的10%。</w:t>
            </w:r>
          </w:p>
        </w:tc>
        <w:tc>
          <w:tcPr>
            <w:tcW w:w="972" w:type="dxa"/>
            <w:vMerge w:val="continue"/>
            <w:vAlign w:val="center"/>
          </w:tcPr>
          <w:p>
            <w:pPr>
              <w:pStyle w:val="11"/>
              <w:jc w:val="center"/>
              <w:rPr>
                <w:rFonts w:ascii="宋体" w:hAnsi="宋体" w:cs="宋体"/>
                <w:color w:val="auto"/>
                <w:kern w:val="0"/>
                <w:szCs w:val="21"/>
                <w:highlight w:val="none"/>
              </w:rPr>
            </w:pPr>
          </w:p>
        </w:tc>
        <w:tc>
          <w:tcPr>
            <w:tcW w:w="825" w:type="dxa"/>
            <w:vMerge w:val="continue"/>
            <w:vAlign w:val="center"/>
          </w:tcPr>
          <w:p>
            <w:pPr>
              <w:pStyle w:val="11"/>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left"/>
              <w:rPr>
                <w:rFonts w:ascii="宋体" w:hAnsi="宋体" w:cs="宋体"/>
                <w:color w:val="auto"/>
                <w:kern w:val="0"/>
                <w:szCs w:val="21"/>
                <w:highlight w:val="none"/>
              </w:rPr>
            </w:pPr>
          </w:p>
        </w:tc>
        <w:tc>
          <w:tcPr>
            <w:tcW w:w="2519" w:type="dxa"/>
            <w:gridSpan w:val="2"/>
            <w:vMerge w:val="continue"/>
            <w:vAlign w:val="center"/>
          </w:tcPr>
          <w:p>
            <w:pPr>
              <w:pStyle w:val="11"/>
              <w:jc w:val="left"/>
              <w:rPr>
                <w:rFonts w:ascii="宋体" w:hAnsi="宋体" w:cs="宋体"/>
                <w:color w:val="auto"/>
                <w:kern w:val="0"/>
                <w:szCs w:val="21"/>
                <w:highlight w:val="none"/>
              </w:rPr>
            </w:pPr>
          </w:p>
        </w:tc>
        <w:tc>
          <w:tcPr>
            <w:tcW w:w="597" w:type="dxa"/>
            <w:vMerge w:val="continue"/>
            <w:vAlign w:val="center"/>
          </w:tcPr>
          <w:p>
            <w:pPr>
              <w:pStyle w:val="11"/>
              <w:jc w:val="left"/>
              <w:rPr>
                <w:rFonts w:ascii="宋体" w:hAnsi="宋体" w:cs="宋体"/>
                <w:color w:val="auto"/>
                <w:kern w:val="0"/>
                <w:szCs w:val="21"/>
                <w:highlight w:val="none"/>
              </w:rPr>
            </w:pPr>
          </w:p>
        </w:tc>
        <w:tc>
          <w:tcPr>
            <w:tcW w:w="9160" w:type="dxa"/>
            <w:vAlign w:val="center"/>
          </w:tcPr>
          <w:p>
            <w:pPr>
              <w:pStyle w:val="11"/>
              <w:jc w:val="left"/>
              <w:rPr>
                <w:rFonts w:ascii="宋体" w:hAnsi="宋体" w:cs="宋体"/>
                <w:color w:val="auto"/>
                <w:kern w:val="0"/>
                <w:szCs w:val="21"/>
                <w:highlight w:val="none"/>
              </w:rPr>
            </w:pPr>
            <w:r>
              <w:rPr>
                <w:rFonts w:hint="eastAsia" w:ascii="宋体" w:hAnsi="宋体" w:cs="宋体"/>
                <w:color w:val="auto"/>
                <w:kern w:val="0"/>
                <w:szCs w:val="21"/>
                <w:highlight w:val="none"/>
              </w:rPr>
              <w:t>5、因设计原因导致业主受到建设行政主管部门行政处罚。</w:t>
            </w:r>
          </w:p>
        </w:tc>
        <w:tc>
          <w:tcPr>
            <w:tcW w:w="972" w:type="dxa"/>
            <w:vMerge w:val="continue"/>
            <w:vAlign w:val="center"/>
          </w:tcPr>
          <w:p>
            <w:pPr>
              <w:pStyle w:val="11"/>
              <w:jc w:val="center"/>
              <w:rPr>
                <w:rFonts w:ascii="宋体" w:hAnsi="宋体" w:cs="宋体"/>
                <w:color w:val="auto"/>
                <w:kern w:val="0"/>
                <w:szCs w:val="21"/>
                <w:highlight w:val="none"/>
              </w:rPr>
            </w:pPr>
          </w:p>
        </w:tc>
        <w:tc>
          <w:tcPr>
            <w:tcW w:w="825" w:type="dxa"/>
            <w:vMerge w:val="continue"/>
            <w:vAlign w:val="center"/>
          </w:tcPr>
          <w:p>
            <w:pPr>
              <w:pStyle w:val="11"/>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pStyle w:val="11"/>
              <w:jc w:val="center"/>
              <w:rPr>
                <w:b/>
                <w:color w:val="auto"/>
                <w:kern w:val="0"/>
                <w:szCs w:val="21"/>
                <w:highlight w:val="none"/>
              </w:rPr>
            </w:pPr>
            <w:r>
              <w:rPr>
                <w:rFonts w:hint="eastAsia"/>
                <w:bCs/>
                <w:color w:val="auto"/>
                <w:kern w:val="0"/>
                <w:szCs w:val="21"/>
                <w:highlight w:val="none"/>
              </w:rPr>
              <w:t>二</w:t>
            </w:r>
          </w:p>
        </w:tc>
        <w:tc>
          <w:tcPr>
            <w:tcW w:w="1165" w:type="dxa"/>
            <w:vMerge w:val="restart"/>
            <w:vAlign w:val="center"/>
          </w:tcPr>
          <w:p>
            <w:pPr>
              <w:pStyle w:val="11"/>
              <w:jc w:val="center"/>
              <w:rPr>
                <w:b/>
                <w:color w:val="auto"/>
                <w:kern w:val="0"/>
                <w:szCs w:val="21"/>
                <w:highlight w:val="none"/>
              </w:rPr>
            </w:pPr>
            <w:r>
              <w:rPr>
                <w:rFonts w:hint="eastAsia"/>
                <w:b/>
                <w:color w:val="auto"/>
                <w:kern w:val="0"/>
                <w:szCs w:val="21"/>
                <w:highlight w:val="none"/>
              </w:rPr>
              <w:t>设计团队</w:t>
            </w:r>
          </w:p>
          <w:p>
            <w:pPr>
              <w:pStyle w:val="11"/>
              <w:jc w:val="center"/>
              <w:rPr>
                <w:b/>
                <w:color w:val="auto"/>
                <w:kern w:val="0"/>
                <w:szCs w:val="21"/>
                <w:highlight w:val="none"/>
              </w:rPr>
            </w:pPr>
            <w:r>
              <w:rPr>
                <w:rFonts w:hint="eastAsia"/>
                <w:b/>
                <w:color w:val="auto"/>
                <w:kern w:val="0"/>
                <w:szCs w:val="21"/>
                <w:highlight w:val="none"/>
              </w:rPr>
              <w:t>（15分）</w:t>
            </w:r>
          </w:p>
        </w:tc>
        <w:tc>
          <w:tcPr>
            <w:tcW w:w="1354" w:type="dxa"/>
            <w:vMerge w:val="restart"/>
            <w:vAlign w:val="center"/>
          </w:tcPr>
          <w:p>
            <w:pPr>
              <w:pStyle w:val="11"/>
              <w:adjustRightInd w:val="0"/>
              <w:snapToGrid w:val="0"/>
              <w:jc w:val="center"/>
              <w:rPr>
                <w:b/>
                <w:color w:val="auto"/>
                <w:kern w:val="0"/>
                <w:szCs w:val="21"/>
                <w:highlight w:val="none"/>
              </w:rPr>
            </w:pPr>
            <w:r>
              <w:rPr>
                <w:rFonts w:hint="eastAsia"/>
                <w:color w:val="auto"/>
                <w:kern w:val="0"/>
                <w:szCs w:val="21"/>
                <w:highlight w:val="none"/>
              </w:rPr>
              <w:t>人员配置</w:t>
            </w:r>
          </w:p>
        </w:tc>
        <w:tc>
          <w:tcPr>
            <w:tcW w:w="597" w:type="dxa"/>
            <w:vMerge w:val="restart"/>
            <w:vAlign w:val="center"/>
          </w:tcPr>
          <w:p>
            <w:pPr>
              <w:pStyle w:val="11"/>
              <w:adjustRightInd w:val="0"/>
              <w:snapToGrid w:val="0"/>
              <w:jc w:val="center"/>
              <w:rPr>
                <w:color w:val="auto"/>
                <w:kern w:val="0"/>
                <w:szCs w:val="21"/>
                <w:highlight w:val="none"/>
              </w:rPr>
            </w:pPr>
            <w:r>
              <w:rPr>
                <w:rFonts w:hint="eastAsia"/>
                <w:color w:val="auto"/>
                <w:kern w:val="0"/>
                <w:szCs w:val="21"/>
                <w:highlight w:val="none"/>
              </w:rPr>
              <w:t>3</w:t>
            </w:r>
          </w:p>
        </w:tc>
        <w:tc>
          <w:tcPr>
            <w:tcW w:w="9160" w:type="dxa"/>
            <w:vAlign w:val="center"/>
          </w:tcPr>
          <w:p>
            <w:pPr>
              <w:pStyle w:val="11"/>
              <w:jc w:val="left"/>
              <w:rPr>
                <w:color w:val="auto"/>
                <w:kern w:val="0"/>
                <w:szCs w:val="21"/>
                <w:highlight w:val="none"/>
              </w:rPr>
            </w:pPr>
            <w:r>
              <w:rPr>
                <w:rFonts w:hint="eastAsia"/>
                <w:color w:val="auto"/>
                <w:kern w:val="0"/>
                <w:szCs w:val="21"/>
                <w:highlight w:val="none"/>
              </w:rPr>
              <w:t>项目负责人未按要求配备到位，扣2分。</w:t>
            </w:r>
          </w:p>
        </w:tc>
        <w:tc>
          <w:tcPr>
            <w:tcW w:w="972" w:type="dxa"/>
            <w:vAlign w:val="center"/>
          </w:tcPr>
          <w:p>
            <w:pPr>
              <w:pStyle w:val="11"/>
              <w:jc w:val="center"/>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adjustRightInd w:val="0"/>
              <w:snapToGrid w:val="0"/>
              <w:jc w:val="center"/>
              <w:rPr>
                <w:color w:val="auto"/>
                <w:kern w:val="0"/>
                <w:szCs w:val="21"/>
                <w:highlight w:val="none"/>
              </w:rPr>
            </w:pPr>
          </w:p>
        </w:tc>
        <w:tc>
          <w:tcPr>
            <w:tcW w:w="597" w:type="dxa"/>
            <w:vMerge w:val="continue"/>
            <w:vAlign w:val="center"/>
          </w:tcPr>
          <w:p>
            <w:pPr>
              <w:pStyle w:val="11"/>
              <w:adjustRightInd w:val="0"/>
              <w:snapToGrid w:val="0"/>
              <w:jc w:val="center"/>
              <w:rPr>
                <w:color w:val="auto"/>
                <w:kern w:val="0"/>
                <w:szCs w:val="21"/>
                <w:highlight w:val="none"/>
              </w:rPr>
            </w:pPr>
          </w:p>
        </w:tc>
        <w:tc>
          <w:tcPr>
            <w:tcW w:w="9160" w:type="dxa"/>
            <w:vAlign w:val="center"/>
          </w:tcPr>
          <w:p>
            <w:pPr>
              <w:pStyle w:val="3"/>
              <w:rPr>
                <w:color w:val="auto"/>
                <w:kern w:val="0"/>
                <w:szCs w:val="21"/>
                <w:highlight w:val="none"/>
              </w:rPr>
            </w:pPr>
            <w:r>
              <w:rPr>
                <w:rFonts w:hint="eastAsia"/>
                <w:color w:val="auto"/>
                <w:kern w:val="0"/>
                <w:szCs w:val="21"/>
                <w:highlight w:val="none"/>
              </w:rPr>
              <w:t>项目负责人</w:t>
            </w:r>
            <w:r>
              <w:rPr>
                <w:rFonts w:hint="eastAsia"/>
                <w:color w:val="auto"/>
                <w:highlight w:val="none"/>
              </w:rPr>
              <w:t>配备但未参加各阶段汇报及施工现场巡场，（办理请假手续除外）每次扣0.5分。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left"/>
              <w:rPr>
                <w:b/>
                <w:color w:val="auto"/>
                <w:kern w:val="0"/>
                <w:szCs w:val="21"/>
                <w:highlight w:val="none"/>
              </w:rPr>
            </w:pPr>
          </w:p>
        </w:tc>
        <w:tc>
          <w:tcPr>
            <w:tcW w:w="597" w:type="dxa"/>
            <w:vMerge w:val="continue"/>
            <w:vAlign w:val="center"/>
          </w:tcPr>
          <w:p>
            <w:pPr>
              <w:pStyle w:val="11"/>
              <w:adjustRightInd w:val="0"/>
              <w:snapToGrid w:val="0"/>
              <w:jc w:val="center"/>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设计团队人员配置未按合同约定及项目要求配备到位，每专业每人扣0.2分。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项目负责人</w:t>
            </w:r>
          </w:p>
        </w:tc>
        <w:tc>
          <w:tcPr>
            <w:tcW w:w="597" w:type="dxa"/>
            <w:vMerge w:val="restart"/>
            <w:vAlign w:val="center"/>
          </w:tcPr>
          <w:p>
            <w:pPr>
              <w:pStyle w:val="11"/>
              <w:jc w:val="center"/>
              <w:rPr>
                <w:color w:val="auto"/>
                <w:kern w:val="0"/>
                <w:szCs w:val="21"/>
                <w:highlight w:val="none"/>
              </w:rPr>
            </w:pPr>
            <w:r>
              <w:rPr>
                <w:rFonts w:hint="eastAsia"/>
                <w:color w:val="auto"/>
                <w:kern w:val="0"/>
                <w:szCs w:val="21"/>
                <w:highlight w:val="none"/>
              </w:rPr>
              <w:t>4</w:t>
            </w:r>
          </w:p>
        </w:tc>
        <w:tc>
          <w:tcPr>
            <w:tcW w:w="9160" w:type="dxa"/>
            <w:vAlign w:val="center"/>
          </w:tcPr>
          <w:p>
            <w:pPr>
              <w:pStyle w:val="11"/>
              <w:jc w:val="left"/>
              <w:rPr>
                <w:color w:val="auto"/>
                <w:kern w:val="0"/>
                <w:szCs w:val="21"/>
                <w:highlight w:val="none"/>
              </w:rPr>
            </w:pPr>
            <w:r>
              <w:rPr>
                <w:rFonts w:hint="eastAsia"/>
                <w:color w:val="auto"/>
                <w:kern w:val="0"/>
                <w:szCs w:val="21"/>
                <w:highlight w:val="none"/>
              </w:rPr>
              <w:t>项目负责人责任心、组织协调能力和专业水平无法满足项目要求，扣2分。</w:t>
            </w:r>
          </w:p>
        </w:tc>
        <w:tc>
          <w:tcPr>
            <w:tcW w:w="972" w:type="dxa"/>
            <w:vAlign w:val="center"/>
          </w:tcPr>
          <w:p>
            <w:pPr>
              <w:pStyle w:val="11"/>
              <w:jc w:val="center"/>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Merge w:val="continue"/>
            <w:vAlign w:val="center"/>
          </w:tcPr>
          <w:p>
            <w:pPr>
              <w:pStyle w:val="11"/>
              <w:jc w:val="center"/>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项目负责人无法满足要求且不按建管中心要求更换，或未经公司同意擅自更换负责人，扣2分。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项目组</w:t>
            </w:r>
          </w:p>
        </w:tc>
        <w:tc>
          <w:tcPr>
            <w:tcW w:w="597" w:type="dxa"/>
            <w:vMerge w:val="restart"/>
            <w:vAlign w:val="center"/>
          </w:tcPr>
          <w:p>
            <w:pPr>
              <w:pStyle w:val="11"/>
              <w:jc w:val="center"/>
              <w:rPr>
                <w:color w:val="auto"/>
                <w:kern w:val="0"/>
                <w:szCs w:val="21"/>
                <w:highlight w:val="none"/>
              </w:rPr>
            </w:pPr>
            <w:r>
              <w:rPr>
                <w:rFonts w:hint="eastAsia"/>
                <w:color w:val="auto"/>
                <w:kern w:val="0"/>
                <w:szCs w:val="21"/>
                <w:highlight w:val="none"/>
              </w:rPr>
              <w:t>4</w:t>
            </w:r>
          </w:p>
        </w:tc>
        <w:tc>
          <w:tcPr>
            <w:tcW w:w="9160" w:type="dxa"/>
            <w:vAlign w:val="center"/>
          </w:tcPr>
          <w:p>
            <w:pPr>
              <w:pStyle w:val="11"/>
              <w:jc w:val="left"/>
              <w:rPr>
                <w:color w:val="auto"/>
                <w:kern w:val="0"/>
                <w:szCs w:val="21"/>
                <w:highlight w:val="none"/>
              </w:rPr>
            </w:pPr>
            <w:r>
              <w:rPr>
                <w:rFonts w:hint="eastAsia"/>
                <w:color w:val="auto"/>
                <w:kern w:val="0"/>
                <w:szCs w:val="21"/>
                <w:highlight w:val="none"/>
              </w:rPr>
              <w:t>项目组人员专业技术水平、服务意识、职业操守、责任心无法满足项目要求，每专业扣2分。</w:t>
            </w:r>
          </w:p>
        </w:tc>
        <w:tc>
          <w:tcPr>
            <w:tcW w:w="972" w:type="dxa"/>
            <w:vAlign w:val="center"/>
          </w:tcPr>
          <w:p>
            <w:pPr>
              <w:pStyle w:val="11"/>
              <w:jc w:val="center"/>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Merge w:val="continue"/>
            <w:vAlign w:val="center"/>
          </w:tcPr>
          <w:p>
            <w:pPr>
              <w:pStyle w:val="11"/>
              <w:adjustRightInd w:val="0"/>
              <w:snapToGrid w:val="0"/>
              <w:jc w:val="center"/>
              <w:rPr>
                <w:color w:val="auto"/>
                <w:kern w:val="0"/>
                <w:szCs w:val="21"/>
                <w:highlight w:val="none"/>
              </w:rPr>
            </w:pPr>
          </w:p>
        </w:tc>
        <w:tc>
          <w:tcPr>
            <w:tcW w:w="9160" w:type="dxa"/>
            <w:vAlign w:val="center"/>
          </w:tcPr>
          <w:p>
            <w:pPr>
              <w:pStyle w:val="11"/>
              <w:jc w:val="left"/>
              <w:rPr>
                <w:rFonts w:ascii="仿宋_GB2312" w:hAnsi="仿宋_GB2312" w:cs="仿宋_GB2312"/>
                <w:color w:val="auto"/>
                <w:szCs w:val="21"/>
                <w:highlight w:val="none"/>
              </w:rPr>
            </w:pPr>
            <w:r>
              <w:rPr>
                <w:rFonts w:hint="eastAsia"/>
                <w:color w:val="auto"/>
                <w:kern w:val="0"/>
                <w:szCs w:val="21"/>
                <w:highlight w:val="none"/>
              </w:rPr>
              <w:t>项目组人员无法满足要求且不按建管中心要求更换相应人员，每专业扣2分。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专项设计</w:t>
            </w:r>
          </w:p>
          <w:p>
            <w:pPr>
              <w:pStyle w:val="11"/>
              <w:jc w:val="center"/>
              <w:rPr>
                <w:color w:val="auto"/>
                <w:kern w:val="0"/>
                <w:szCs w:val="21"/>
                <w:highlight w:val="none"/>
              </w:rPr>
            </w:pPr>
            <w:r>
              <w:rPr>
                <w:rFonts w:hint="eastAsia"/>
                <w:color w:val="auto"/>
                <w:kern w:val="0"/>
                <w:szCs w:val="21"/>
                <w:highlight w:val="none"/>
              </w:rPr>
              <w:t>单位</w:t>
            </w:r>
          </w:p>
        </w:tc>
        <w:tc>
          <w:tcPr>
            <w:tcW w:w="597" w:type="dxa"/>
            <w:vMerge w:val="restart"/>
            <w:vAlign w:val="center"/>
          </w:tcPr>
          <w:p>
            <w:pPr>
              <w:pStyle w:val="11"/>
              <w:jc w:val="center"/>
              <w:rPr>
                <w:color w:val="auto"/>
                <w:kern w:val="0"/>
                <w:szCs w:val="21"/>
                <w:highlight w:val="none"/>
              </w:rPr>
            </w:pPr>
            <w:r>
              <w:rPr>
                <w:rFonts w:hint="eastAsia"/>
                <w:color w:val="auto"/>
                <w:kern w:val="0"/>
                <w:szCs w:val="21"/>
                <w:highlight w:val="none"/>
              </w:rPr>
              <w:t>4</w:t>
            </w:r>
          </w:p>
        </w:tc>
        <w:tc>
          <w:tcPr>
            <w:tcW w:w="9160" w:type="dxa"/>
            <w:vAlign w:val="center"/>
          </w:tcPr>
          <w:p>
            <w:pPr>
              <w:pStyle w:val="11"/>
              <w:jc w:val="left"/>
              <w:rPr>
                <w:color w:val="auto"/>
                <w:kern w:val="0"/>
                <w:szCs w:val="21"/>
                <w:highlight w:val="none"/>
              </w:rPr>
            </w:pPr>
            <w:r>
              <w:rPr>
                <w:rFonts w:hint="eastAsia"/>
                <w:color w:val="auto"/>
                <w:kern w:val="0"/>
                <w:szCs w:val="21"/>
                <w:highlight w:val="none"/>
              </w:rPr>
              <w:t>专项设计单位无法满足项目设计效果、技术水平、服务意识等要求，或统筹协调能力弱，每单位扣2分。</w:t>
            </w:r>
          </w:p>
        </w:tc>
        <w:tc>
          <w:tcPr>
            <w:tcW w:w="972" w:type="dxa"/>
            <w:vAlign w:val="center"/>
          </w:tcPr>
          <w:p>
            <w:pPr>
              <w:pStyle w:val="11"/>
              <w:jc w:val="center"/>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Merge w:val="continue"/>
            <w:vAlign w:val="center"/>
          </w:tcPr>
          <w:p>
            <w:pPr>
              <w:pStyle w:val="11"/>
              <w:jc w:val="center"/>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专项设计单位无法满足要求且不按建管中心要求更换专项设计单位，扣2分。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pStyle w:val="11"/>
              <w:jc w:val="center"/>
              <w:rPr>
                <w:b/>
                <w:color w:val="auto"/>
                <w:kern w:val="0"/>
                <w:szCs w:val="21"/>
                <w:highlight w:val="none"/>
              </w:rPr>
            </w:pPr>
            <w:r>
              <w:rPr>
                <w:rFonts w:hint="eastAsia"/>
                <w:b/>
                <w:color w:val="auto"/>
                <w:kern w:val="0"/>
                <w:szCs w:val="21"/>
                <w:highlight w:val="none"/>
              </w:rPr>
              <w:t>三</w:t>
            </w:r>
          </w:p>
        </w:tc>
        <w:tc>
          <w:tcPr>
            <w:tcW w:w="1165" w:type="dxa"/>
            <w:vMerge w:val="restart"/>
            <w:vAlign w:val="center"/>
          </w:tcPr>
          <w:p>
            <w:pPr>
              <w:pStyle w:val="11"/>
              <w:jc w:val="center"/>
              <w:rPr>
                <w:b/>
                <w:color w:val="auto"/>
                <w:kern w:val="0"/>
                <w:szCs w:val="21"/>
                <w:highlight w:val="none"/>
              </w:rPr>
            </w:pPr>
            <w:r>
              <w:rPr>
                <w:rFonts w:hint="eastAsia"/>
                <w:b/>
                <w:color w:val="auto"/>
                <w:kern w:val="0"/>
                <w:szCs w:val="21"/>
                <w:highlight w:val="none"/>
              </w:rPr>
              <w:t>设计进度</w:t>
            </w:r>
          </w:p>
          <w:p>
            <w:pPr>
              <w:pStyle w:val="11"/>
              <w:jc w:val="center"/>
              <w:rPr>
                <w:b/>
                <w:color w:val="auto"/>
                <w:kern w:val="0"/>
                <w:szCs w:val="21"/>
                <w:highlight w:val="none"/>
              </w:rPr>
            </w:pPr>
            <w:r>
              <w:rPr>
                <w:rFonts w:hint="eastAsia"/>
                <w:b/>
                <w:color w:val="auto"/>
                <w:kern w:val="0"/>
                <w:szCs w:val="21"/>
                <w:highlight w:val="none"/>
              </w:rPr>
              <w:t>（</w:t>
            </w:r>
            <w:r>
              <w:rPr>
                <w:b/>
                <w:color w:val="auto"/>
                <w:kern w:val="0"/>
                <w:szCs w:val="21"/>
                <w:highlight w:val="none"/>
              </w:rPr>
              <w:t>20</w:t>
            </w:r>
            <w:r>
              <w:rPr>
                <w:rFonts w:hint="eastAsia"/>
                <w:b/>
                <w:color w:val="auto"/>
                <w:kern w:val="0"/>
                <w:szCs w:val="21"/>
                <w:highlight w:val="none"/>
              </w:rPr>
              <w:t>分）</w:t>
            </w: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进度计划书</w:t>
            </w:r>
          </w:p>
        </w:tc>
        <w:tc>
          <w:tcPr>
            <w:tcW w:w="597" w:type="dxa"/>
            <w:vMerge w:val="restart"/>
            <w:vAlign w:val="center"/>
          </w:tcPr>
          <w:p>
            <w:pPr>
              <w:pStyle w:val="11"/>
              <w:jc w:val="center"/>
              <w:rPr>
                <w:color w:val="auto"/>
                <w:kern w:val="0"/>
                <w:szCs w:val="21"/>
                <w:highlight w:val="none"/>
              </w:rPr>
            </w:pPr>
            <w:r>
              <w:rPr>
                <w:rFonts w:hint="eastAsia"/>
                <w:color w:val="auto"/>
                <w:kern w:val="0"/>
                <w:szCs w:val="21"/>
                <w:highlight w:val="none"/>
              </w:rPr>
              <w:t>7</w:t>
            </w:r>
          </w:p>
        </w:tc>
        <w:tc>
          <w:tcPr>
            <w:tcW w:w="9160" w:type="dxa"/>
            <w:vAlign w:val="center"/>
          </w:tcPr>
          <w:p>
            <w:pPr>
              <w:pStyle w:val="11"/>
              <w:jc w:val="left"/>
              <w:rPr>
                <w:color w:val="auto"/>
                <w:kern w:val="0"/>
                <w:szCs w:val="21"/>
                <w:highlight w:val="none"/>
              </w:rPr>
            </w:pPr>
            <w:r>
              <w:rPr>
                <w:rFonts w:hint="eastAsia"/>
                <w:color w:val="auto"/>
                <w:kern w:val="0"/>
                <w:szCs w:val="21"/>
                <w:highlight w:val="none"/>
              </w:rPr>
              <w:t>未能及时按合同要求编制设计、报建进度计划书，扣7分。</w:t>
            </w:r>
          </w:p>
        </w:tc>
        <w:tc>
          <w:tcPr>
            <w:tcW w:w="972" w:type="dxa"/>
            <w:vAlign w:val="center"/>
          </w:tcPr>
          <w:p>
            <w:pPr>
              <w:pStyle w:val="11"/>
              <w:jc w:val="center"/>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Merge w:val="continue"/>
            <w:vAlign w:val="center"/>
          </w:tcPr>
          <w:p>
            <w:pPr>
              <w:pStyle w:val="11"/>
              <w:jc w:val="center"/>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编制的设计、报建进度计划书不够详细，不具备可行性，扣3分，不能及时调整完善扣7分。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实际进度</w:t>
            </w:r>
          </w:p>
        </w:tc>
        <w:tc>
          <w:tcPr>
            <w:tcW w:w="597" w:type="dxa"/>
            <w:vMerge w:val="restart"/>
            <w:vAlign w:val="center"/>
          </w:tcPr>
          <w:p>
            <w:pPr>
              <w:pStyle w:val="11"/>
              <w:jc w:val="center"/>
              <w:rPr>
                <w:color w:val="auto"/>
                <w:kern w:val="0"/>
                <w:szCs w:val="21"/>
                <w:highlight w:val="none"/>
              </w:rPr>
            </w:pPr>
            <w:r>
              <w:rPr>
                <w:rFonts w:hint="eastAsia"/>
                <w:color w:val="auto"/>
                <w:kern w:val="0"/>
                <w:szCs w:val="21"/>
                <w:highlight w:val="none"/>
              </w:rPr>
              <w:t>7</w:t>
            </w: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设计、报建进度因设计服务单位等原因未能按照计划和甲方指令执行，每次扣3分。</w:t>
            </w:r>
          </w:p>
        </w:tc>
        <w:tc>
          <w:tcPr>
            <w:tcW w:w="972" w:type="dxa"/>
            <w:vAlign w:val="center"/>
          </w:tcPr>
          <w:p>
            <w:pPr>
              <w:pStyle w:val="11"/>
              <w:jc w:val="center"/>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Merge w:val="continue"/>
            <w:vAlign w:val="center"/>
          </w:tcPr>
          <w:p>
            <w:pPr>
              <w:pStyle w:val="11"/>
              <w:jc w:val="center"/>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设计、报建进度未按实际进度更新、完善设计、报建计划的，每次扣2分。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调整进度</w:t>
            </w:r>
          </w:p>
        </w:tc>
        <w:tc>
          <w:tcPr>
            <w:tcW w:w="597" w:type="dxa"/>
            <w:vMerge w:val="restart"/>
            <w:vAlign w:val="center"/>
          </w:tcPr>
          <w:p>
            <w:pPr>
              <w:pStyle w:val="11"/>
              <w:jc w:val="center"/>
              <w:rPr>
                <w:color w:val="auto"/>
                <w:kern w:val="0"/>
                <w:szCs w:val="21"/>
                <w:highlight w:val="none"/>
              </w:rPr>
            </w:pPr>
            <w:r>
              <w:rPr>
                <w:rFonts w:hint="eastAsia"/>
                <w:color w:val="auto"/>
                <w:kern w:val="0"/>
                <w:szCs w:val="21"/>
                <w:highlight w:val="none"/>
              </w:rPr>
              <w:t>6</w:t>
            </w:r>
          </w:p>
        </w:tc>
        <w:tc>
          <w:tcPr>
            <w:tcW w:w="9160" w:type="dxa"/>
            <w:vAlign w:val="center"/>
          </w:tcPr>
          <w:p>
            <w:pPr>
              <w:pStyle w:val="11"/>
              <w:jc w:val="left"/>
              <w:rPr>
                <w:color w:val="auto"/>
                <w:kern w:val="0"/>
                <w:szCs w:val="21"/>
                <w:highlight w:val="none"/>
              </w:rPr>
            </w:pPr>
            <w:r>
              <w:rPr>
                <w:rFonts w:hint="eastAsia"/>
                <w:color w:val="auto"/>
                <w:kern w:val="0"/>
                <w:szCs w:val="21"/>
                <w:highlight w:val="none"/>
              </w:rPr>
              <w:t>编制的设计、报建进度计划书出现重大疏漏或实际执行有变时未能及时调整。每次扣2分。</w:t>
            </w:r>
          </w:p>
        </w:tc>
        <w:tc>
          <w:tcPr>
            <w:tcW w:w="972" w:type="dxa"/>
            <w:vAlign w:val="center"/>
          </w:tcPr>
          <w:p>
            <w:pPr>
              <w:pStyle w:val="11"/>
              <w:jc w:val="center"/>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Merge w:val="continue"/>
            <w:vAlign w:val="center"/>
          </w:tcPr>
          <w:p>
            <w:pPr>
              <w:pStyle w:val="11"/>
              <w:jc w:val="center"/>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设计、报建进度有变时未能提出补救措施并付诸实施。每次扣3分。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pStyle w:val="11"/>
              <w:jc w:val="center"/>
              <w:rPr>
                <w:b/>
                <w:color w:val="auto"/>
                <w:kern w:val="0"/>
                <w:szCs w:val="21"/>
                <w:highlight w:val="none"/>
              </w:rPr>
            </w:pPr>
            <w:r>
              <w:rPr>
                <w:rFonts w:hint="eastAsia"/>
                <w:bCs/>
                <w:color w:val="auto"/>
                <w:kern w:val="0"/>
                <w:szCs w:val="21"/>
                <w:highlight w:val="none"/>
              </w:rPr>
              <w:t>四</w:t>
            </w:r>
          </w:p>
        </w:tc>
        <w:tc>
          <w:tcPr>
            <w:tcW w:w="1165" w:type="dxa"/>
            <w:vMerge w:val="restart"/>
            <w:vAlign w:val="center"/>
          </w:tcPr>
          <w:p>
            <w:pPr>
              <w:pStyle w:val="11"/>
              <w:jc w:val="center"/>
              <w:rPr>
                <w:b/>
                <w:color w:val="auto"/>
                <w:kern w:val="0"/>
                <w:szCs w:val="21"/>
                <w:highlight w:val="none"/>
              </w:rPr>
            </w:pPr>
            <w:r>
              <w:rPr>
                <w:rFonts w:hint="eastAsia"/>
                <w:b/>
                <w:color w:val="auto"/>
                <w:kern w:val="0"/>
                <w:szCs w:val="21"/>
                <w:highlight w:val="none"/>
              </w:rPr>
              <w:t>设计质量</w:t>
            </w:r>
          </w:p>
          <w:p>
            <w:pPr>
              <w:pStyle w:val="11"/>
              <w:jc w:val="center"/>
              <w:rPr>
                <w:b/>
                <w:color w:val="auto"/>
                <w:kern w:val="0"/>
                <w:szCs w:val="21"/>
                <w:highlight w:val="none"/>
              </w:rPr>
            </w:pPr>
            <w:r>
              <w:rPr>
                <w:rFonts w:hint="eastAsia"/>
                <w:b/>
                <w:color w:val="auto"/>
                <w:kern w:val="0"/>
                <w:szCs w:val="21"/>
                <w:highlight w:val="none"/>
              </w:rPr>
              <w:t>（45分）</w:t>
            </w: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设计文件</w:t>
            </w:r>
          </w:p>
          <w:p>
            <w:pPr>
              <w:pStyle w:val="11"/>
              <w:jc w:val="center"/>
              <w:rPr>
                <w:color w:val="auto"/>
                <w:kern w:val="0"/>
                <w:szCs w:val="21"/>
                <w:highlight w:val="none"/>
              </w:rPr>
            </w:pPr>
            <w:r>
              <w:rPr>
                <w:rFonts w:hint="eastAsia"/>
                <w:color w:val="auto"/>
                <w:kern w:val="0"/>
                <w:szCs w:val="21"/>
                <w:highlight w:val="none"/>
              </w:rPr>
              <w:t>（20分）</w:t>
            </w:r>
          </w:p>
        </w:tc>
        <w:tc>
          <w:tcPr>
            <w:tcW w:w="597" w:type="dxa"/>
            <w:vMerge w:val="restart"/>
            <w:vAlign w:val="center"/>
          </w:tcPr>
          <w:p>
            <w:pPr>
              <w:pStyle w:val="11"/>
              <w:jc w:val="center"/>
              <w:rPr>
                <w:color w:val="auto"/>
                <w:kern w:val="0"/>
                <w:szCs w:val="21"/>
                <w:highlight w:val="none"/>
              </w:rPr>
            </w:pPr>
            <w:r>
              <w:rPr>
                <w:rFonts w:hint="eastAsia"/>
                <w:color w:val="auto"/>
                <w:kern w:val="0"/>
                <w:szCs w:val="21"/>
                <w:highlight w:val="none"/>
              </w:rPr>
              <w:t>8</w:t>
            </w:r>
          </w:p>
        </w:tc>
        <w:tc>
          <w:tcPr>
            <w:tcW w:w="9160" w:type="dxa"/>
            <w:vAlign w:val="center"/>
          </w:tcPr>
          <w:p>
            <w:pPr>
              <w:pStyle w:val="11"/>
              <w:jc w:val="left"/>
              <w:rPr>
                <w:color w:val="auto"/>
                <w:kern w:val="0"/>
                <w:szCs w:val="21"/>
                <w:highlight w:val="none"/>
              </w:rPr>
            </w:pPr>
            <w:r>
              <w:rPr>
                <w:rFonts w:hint="eastAsia"/>
                <w:color w:val="auto"/>
                <w:kern w:val="0"/>
                <w:szCs w:val="21"/>
                <w:highlight w:val="none"/>
              </w:rPr>
              <w:t>出现因设计原因存在设计缺陷（如面积受损、使用不便等），导致甲方整体权益受损，每条问题扣0.5分。</w:t>
            </w:r>
          </w:p>
        </w:tc>
        <w:tc>
          <w:tcPr>
            <w:tcW w:w="972" w:type="dxa"/>
            <w:vAlign w:val="center"/>
          </w:tcPr>
          <w:p>
            <w:pPr>
              <w:pStyle w:val="11"/>
              <w:jc w:val="center"/>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Merge w:val="continue"/>
            <w:vAlign w:val="center"/>
          </w:tcPr>
          <w:p>
            <w:pPr>
              <w:pStyle w:val="11"/>
              <w:jc w:val="center"/>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highlight w:val="none"/>
              </w:rPr>
              <w:t>因设计不合理导致后期施工难度、成本增加、材料样板选样困难、后期维护成本高等问题，每条问题扣1分。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Merge w:val="continue"/>
            <w:vAlign w:val="center"/>
          </w:tcPr>
          <w:p>
            <w:pPr>
              <w:pStyle w:val="11"/>
              <w:jc w:val="center"/>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出现因设计原因存在重大修改或重报，导致甲方权益受损的且影响整体进度的，每条问题扣2分。</w:t>
            </w:r>
          </w:p>
        </w:tc>
        <w:tc>
          <w:tcPr>
            <w:tcW w:w="972" w:type="dxa"/>
            <w:vAlign w:val="center"/>
          </w:tcPr>
          <w:p>
            <w:pPr>
              <w:pStyle w:val="11"/>
              <w:jc w:val="center"/>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4</w:t>
            </w:r>
          </w:p>
        </w:tc>
        <w:tc>
          <w:tcPr>
            <w:tcW w:w="9160" w:type="dxa"/>
            <w:vAlign w:val="center"/>
          </w:tcPr>
          <w:p>
            <w:pPr>
              <w:pStyle w:val="11"/>
              <w:jc w:val="left"/>
              <w:rPr>
                <w:color w:val="auto"/>
                <w:kern w:val="0"/>
                <w:szCs w:val="21"/>
                <w:highlight w:val="none"/>
              </w:rPr>
            </w:pPr>
            <w:r>
              <w:rPr>
                <w:rFonts w:hint="eastAsia"/>
                <w:color w:val="auto"/>
                <w:kern w:val="0"/>
                <w:szCs w:val="21"/>
                <w:highlight w:val="none"/>
              </w:rPr>
              <w:t>各设计阶段的设计文件不能符合国家规定的设计深度及报建要求，导致项目工作受影响的，每次扣4分。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8</w:t>
            </w: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文件不能满足甲方建造标准，不能满足合同规定的各专业深度要求，专项设计施工图深度不能达到准确编制工程量清单、施工招标、安排材料设备订货和非标准设备的制作、进行施工和安装的深度要求等，每次扣1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图纸内容</w:t>
            </w:r>
          </w:p>
          <w:p>
            <w:pPr>
              <w:pStyle w:val="11"/>
              <w:jc w:val="center"/>
              <w:rPr>
                <w:color w:val="auto"/>
                <w:kern w:val="0"/>
                <w:szCs w:val="21"/>
                <w:highlight w:val="none"/>
              </w:rPr>
            </w:pPr>
            <w:r>
              <w:rPr>
                <w:rFonts w:hint="eastAsia"/>
                <w:color w:val="auto"/>
                <w:kern w:val="0"/>
                <w:szCs w:val="21"/>
                <w:highlight w:val="none"/>
              </w:rPr>
              <w:t>（20分）</w:t>
            </w:r>
          </w:p>
        </w:tc>
        <w:tc>
          <w:tcPr>
            <w:tcW w:w="597" w:type="dxa"/>
            <w:vAlign w:val="center"/>
          </w:tcPr>
          <w:p>
            <w:pPr>
              <w:pStyle w:val="11"/>
              <w:jc w:val="center"/>
              <w:rPr>
                <w:color w:val="auto"/>
                <w:kern w:val="0"/>
                <w:szCs w:val="21"/>
                <w:highlight w:val="none"/>
              </w:rPr>
            </w:pPr>
            <w:r>
              <w:rPr>
                <w:rFonts w:hint="eastAsia"/>
                <w:color w:val="auto"/>
                <w:kern w:val="0"/>
                <w:szCs w:val="21"/>
                <w:highlight w:val="none"/>
              </w:rPr>
              <w:t>10</w:t>
            </w: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设计施工图中存在因设计原因导致各专业图纸存在错、漏、碰、缺等问题且造成甲方损失（金额超过1万元）的，每条问题扣0.2分。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Merge w:val="continue"/>
            <w:vAlign w:val="center"/>
          </w:tcPr>
          <w:p>
            <w:pPr>
              <w:pStyle w:val="11"/>
              <w:jc w:val="center"/>
              <w:rPr>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10</w:t>
            </w:r>
          </w:p>
        </w:tc>
        <w:tc>
          <w:tcPr>
            <w:tcW w:w="9160" w:type="dxa"/>
            <w:vAlign w:val="center"/>
          </w:tcPr>
          <w:p>
            <w:pPr>
              <w:pStyle w:val="11"/>
              <w:jc w:val="left"/>
              <w:rPr>
                <w:color w:val="auto"/>
                <w:kern w:val="0"/>
                <w:szCs w:val="21"/>
                <w:highlight w:val="none"/>
              </w:rPr>
            </w:pPr>
            <w:r>
              <w:rPr>
                <w:rFonts w:hint="eastAsia"/>
                <w:color w:val="auto"/>
                <w:kern w:val="0"/>
                <w:szCs w:val="21"/>
                <w:highlight w:val="none"/>
              </w:rPr>
              <w:t>专项设计、二次深化设计中存在因设计原因导致各专业图纸存在错、漏、碰、缺等问题且造成甲方损失（金额超过1万元）的，每条问题扣0.2分。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
                <w:color w:val="auto"/>
                <w:kern w:val="0"/>
                <w:szCs w:val="21"/>
                <w:highlight w:val="none"/>
              </w:rPr>
            </w:pPr>
          </w:p>
        </w:tc>
        <w:tc>
          <w:tcPr>
            <w:tcW w:w="1165" w:type="dxa"/>
            <w:vMerge w:val="continue"/>
            <w:vAlign w:val="center"/>
          </w:tcPr>
          <w:p>
            <w:pPr>
              <w:pStyle w:val="11"/>
              <w:jc w:val="left"/>
              <w:rPr>
                <w:color w:val="auto"/>
                <w:kern w:val="0"/>
                <w:szCs w:val="21"/>
                <w:highlight w:val="none"/>
              </w:rPr>
            </w:pPr>
          </w:p>
        </w:tc>
        <w:tc>
          <w:tcPr>
            <w:tcW w:w="1354" w:type="dxa"/>
            <w:vAlign w:val="center"/>
          </w:tcPr>
          <w:p>
            <w:pPr>
              <w:pStyle w:val="11"/>
              <w:jc w:val="center"/>
              <w:rPr>
                <w:color w:val="auto"/>
                <w:kern w:val="0"/>
                <w:szCs w:val="21"/>
                <w:highlight w:val="none"/>
              </w:rPr>
            </w:pPr>
            <w:r>
              <w:rPr>
                <w:rFonts w:hint="eastAsia"/>
                <w:color w:val="auto"/>
                <w:kern w:val="0"/>
                <w:szCs w:val="21"/>
                <w:highlight w:val="none"/>
              </w:rPr>
              <w:t>设计配合</w:t>
            </w:r>
          </w:p>
          <w:p>
            <w:pPr>
              <w:pStyle w:val="11"/>
              <w:jc w:val="center"/>
              <w:rPr>
                <w:color w:val="auto"/>
                <w:kern w:val="0"/>
                <w:szCs w:val="21"/>
                <w:highlight w:val="none"/>
              </w:rPr>
            </w:pPr>
            <w:r>
              <w:rPr>
                <w:rFonts w:hint="eastAsia"/>
                <w:color w:val="auto"/>
                <w:kern w:val="0"/>
                <w:szCs w:val="21"/>
                <w:highlight w:val="none"/>
              </w:rPr>
              <w:t>（5分）</w:t>
            </w:r>
          </w:p>
        </w:tc>
        <w:tc>
          <w:tcPr>
            <w:tcW w:w="597" w:type="dxa"/>
            <w:vAlign w:val="center"/>
          </w:tcPr>
          <w:p>
            <w:pPr>
              <w:pStyle w:val="11"/>
              <w:jc w:val="center"/>
              <w:rPr>
                <w:color w:val="auto"/>
                <w:kern w:val="0"/>
                <w:szCs w:val="21"/>
                <w:highlight w:val="none"/>
              </w:rPr>
            </w:pPr>
            <w:r>
              <w:rPr>
                <w:rFonts w:hint="eastAsia"/>
                <w:color w:val="auto"/>
                <w:kern w:val="0"/>
                <w:szCs w:val="21"/>
                <w:highlight w:val="none"/>
              </w:rPr>
              <w:t>5</w:t>
            </w:r>
          </w:p>
        </w:tc>
        <w:tc>
          <w:tcPr>
            <w:tcW w:w="9160" w:type="dxa"/>
            <w:vAlign w:val="center"/>
          </w:tcPr>
          <w:p>
            <w:pPr>
              <w:pStyle w:val="11"/>
              <w:jc w:val="left"/>
              <w:rPr>
                <w:color w:val="auto"/>
                <w:kern w:val="0"/>
                <w:szCs w:val="21"/>
                <w:highlight w:val="none"/>
              </w:rPr>
            </w:pPr>
            <w:r>
              <w:rPr>
                <w:rFonts w:hint="eastAsia"/>
                <w:color w:val="auto"/>
                <w:kern w:val="0"/>
                <w:szCs w:val="21"/>
                <w:highlight w:val="none"/>
              </w:rPr>
              <w:t>不能按照要求提供各专业专家论证或第三方机构出具论证意见书，或不配合推进设计沟通、报建等相关工作，每次扣5分。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pStyle w:val="11"/>
              <w:jc w:val="center"/>
              <w:rPr>
                <w:bCs/>
                <w:color w:val="auto"/>
                <w:kern w:val="0"/>
                <w:szCs w:val="21"/>
                <w:highlight w:val="none"/>
              </w:rPr>
            </w:pPr>
            <w:r>
              <w:rPr>
                <w:rFonts w:hint="eastAsia"/>
                <w:bCs/>
                <w:color w:val="auto"/>
                <w:kern w:val="0"/>
                <w:szCs w:val="21"/>
                <w:highlight w:val="none"/>
              </w:rPr>
              <w:t>五</w:t>
            </w:r>
          </w:p>
        </w:tc>
        <w:tc>
          <w:tcPr>
            <w:tcW w:w="1165" w:type="dxa"/>
            <w:vMerge w:val="restart"/>
            <w:vAlign w:val="center"/>
          </w:tcPr>
          <w:p>
            <w:pPr>
              <w:pStyle w:val="11"/>
              <w:jc w:val="center"/>
              <w:rPr>
                <w:b/>
                <w:color w:val="auto"/>
                <w:kern w:val="0"/>
                <w:szCs w:val="21"/>
                <w:highlight w:val="none"/>
              </w:rPr>
            </w:pPr>
            <w:r>
              <w:rPr>
                <w:rFonts w:hint="eastAsia"/>
                <w:b/>
                <w:color w:val="auto"/>
                <w:kern w:val="0"/>
                <w:szCs w:val="21"/>
                <w:highlight w:val="none"/>
              </w:rPr>
              <w:t>配合协调</w:t>
            </w:r>
          </w:p>
          <w:p>
            <w:pPr>
              <w:pStyle w:val="11"/>
              <w:jc w:val="center"/>
              <w:rPr>
                <w:b/>
                <w:color w:val="auto"/>
                <w:kern w:val="0"/>
                <w:szCs w:val="21"/>
                <w:highlight w:val="none"/>
              </w:rPr>
            </w:pPr>
            <w:r>
              <w:rPr>
                <w:rFonts w:hint="eastAsia"/>
                <w:b/>
                <w:color w:val="auto"/>
                <w:kern w:val="0"/>
                <w:szCs w:val="21"/>
                <w:highlight w:val="none"/>
              </w:rPr>
              <w:t>（20分）</w:t>
            </w: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设计阶段</w:t>
            </w:r>
          </w:p>
          <w:p>
            <w:pPr>
              <w:pStyle w:val="11"/>
              <w:jc w:val="center"/>
              <w:rPr>
                <w:b/>
                <w:color w:val="auto"/>
                <w:kern w:val="0"/>
                <w:szCs w:val="21"/>
                <w:highlight w:val="none"/>
              </w:rPr>
            </w:pPr>
            <w:r>
              <w:rPr>
                <w:rFonts w:hint="eastAsia"/>
                <w:color w:val="auto"/>
                <w:kern w:val="0"/>
                <w:szCs w:val="21"/>
                <w:highlight w:val="none"/>
              </w:rPr>
              <w:t>（8分）</w:t>
            </w:r>
          </w:p>
        </w:tc>
        <w:tc>
          <w:tcPr>
            <w:tcW w:w="597" w:type="dxa"/>
            <w:vAlign w:val="center"/>
          </w:tcPr>
          <w:p>
            <w:pPr>
              <w:pStyle w:val="11"/>
              <w:jc w:val="center"/>
              <w:rPr>
                <w:color w:val="auto"/>
                <w:kern w:val="0"/>
                <w:szCs w:val="21"/>
                <w:highlight w:val="none"/>
              </w:rPr>
            </w:pPr>
            <w:r>
              <w:rPr>
                <w:rFonts w:hint="eastAsia"/>
                <w:color w:val="auto"/>
                <w:kern w:val="0"/>
                <w:szCs w:val="21"/>
                <w:highlight w:val="none"/>
              </w:rPr>
              <w:t>2</w:t>
            </w:r>
          </w:p>
        </w:tc>
        <w:tc>
          <w:tcPr>
            <w:tcW w:w="9160" w:type="dxa"/>
            <w:vAlign w:val="center"/>
          </w:tcPr>
          <w:p>
            <w:pPr>
              <w:pStyle w:val="11"/>
              <w:jc w:val="left"/>
              <w:rPr>
                <w:color w:val="auto"/>
                <w:kern w:val="0"/>
                <w:szCs w:val="21"/>
                <w:highlight w:val="none"/>
              </w:rPr>
            </w:pPr>
            <w:r>
              <w:rPr>
                <w:rFonts w:hint="eastAsia"/>
                <w:color w:val="auto"/>
                <w:kern w:val="0"/>
                <w:szCs w:val="21"/>
                <w:highlight w:val="none"/>
              </w:rPr>
              <w:t>不能积极响应及落实甲方指令，按照甲方要求出具设计成果或修改设计内容，每次扣0.5分。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2</w:t>
            </w:r>
          </w:p>
        </w:tc>
        <w:tc>
          <w:tcPr>
            <w:tcW w:w="9160" w:type="dxa"/>
            <w:vAlign w:val="center"/>
          </w:tcPr>
          <w:p>
            <w:pPr>
              <w:pStyle w:val="11"/>
              <w:jc w:val="left"/>
              <w:rPr>
                <w:color w:val="auto"/>
                <w:kern w:val="0"/>
                <w:szCs w:val="21"/>
                <w:highlight w:val="none"/>
              </w:rPr>
            </w:pPr>
            <w:r>
              <w:rPr>
                <w:rFonts w:hint="eastAsia"/>
                <w:color w:val="auto"/>
                <w:kern w:val="0"/>
                <w:szCs w:val="21"/>
                <w:highlight w:val="none"/>
              </w:rPr>
              <w:t>未能及时协助各项设计、报建工作的问题沟通，推动项目进展，每次扣0.5分。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2</w:t>
            </w:r>
          </w:p>
        </w:tc>
        <w:tc>
          <w:tcPr>
            <w:tcW w:w="9160" w:type="dxa"/>
            <w:vAlign w:val="center"/>
          </w:tcPr>
          <w:p>
            <w:pPr>
              <w:pStyle w:val="11"/>
              <w:jc w:val="left"/>
              <w:rPr>
                <w:color w:val="auto"/>
                <w:kern w:val="0"/>
                <w:szCs w:val="21"/>
                <w:highlight w:val="none"/>
              </w:rPr>
            </w:pPr>
            <w:r>
              <w:rPr>
                <w:rFonts w:hint="eastAsia"/>
                <w:color w:val="auto"/>
                <w:kern w:val="0"/>
                <w:szCs w:val="21"/>
                <w:highlight w:val="none"/>
              </w:rPr>
              <w:t>不能够按照要求推动项目创新的研究、相关做法的完善，每次扣0.5分。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2</w:t>
            </w:r>
          </w:p>
        </w:tc>
        <w:tc>
          <w:tcPr>
            <w:tcW w:w="9160" w:type="dxa"/>
            <w:vAlign w:val="center"/>
          </w:tcPr>
          <w:p>
            <w:pPr>
              <w:pStyle w:val="11"/>
              <w:jc w:val="left"/>
              <w:rPr>
                <w:color w:val="auto"/>
                <w:kern w:val="0"/>
                <w:szCs w:val="21"/>
                <w:highlight w:val="none"/>
              </w:rPr>
            </w:pPr>
            <w:r>
              <w:rPr>
                <w:rFonts w:hint="eastAsia"/>
                <w:color w:val="auto"/>
                <w:kern w:val="0"/>
                <w:szCs w:val="21"/>
                <w:highlight w:val="none"/>
              </w:rPr>
              <w:t>不能按照要求推动项目亮点的研究、相关做法的完善，每次扣0.5分。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r>
              <w:rPr>
                <w:rFonts w:hint="eastAsia"/>
                <w:bCs/>
                <w:color w:val="auto"/>
                <w:kern w:val="0"/>
                <w:szCs w:val="21"/>
                <w:highlight w:val="none"/>
              </w:rPr>
              <w:t>、</w:t>
            </w: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2</w:t>
            </w: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设计样板的效果及质量不能满足要求或施工样板配合服务不到位，每次扣1分。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施工配合</w:t>
            </w:r>
          </w:p>
          <w:p>
            <w:pPr>
              <w:pStyle w:val="11"/>
              <w:jc w:val="center"/>
              <w:rPr>
                <w:b/>
                <w:color w:val="auto"/>
                <w:kern w:val="0"/>
                <w:szCs w:val="21"/>
                <w:highlight w:val="none"/>
              </w:rPr>
            </w:pPr>
            <w:r>
              <w:rPr>
                <w:rFonts w:hint="eastAsia"/>
                <w:color w:val="auto"/>
                <w:kern w:val="0"/>
                <w:szCs w:val="21"/>
                <w:highlight w:val="none"/>
              </w:rPr>
              <w:t>（6分）</w:t>
            </w:r>
          </w:p>
        </w:tc>
        <w:tc>
          <w:tcPr>
            <w:tcW w:w="597" w:type="dxa"/>
            <w:vAlign w:val="center"/>
          </w:tcPr>
          <w:p>
            <w:pPr>
              <w:pStyle w:val="11"/>
              <w:jc w:val="center"/>
              <w:rPr>
                <w:color w:val="auto"/>
                <w:kern w:val="0"/>
                <w:szCs w:val="21"/>
                <w:highlight w:val="none"/>
              </w:rPr>
            </w:pPr>
            <w:r>
              <w:rPr>
                <w:rFonts w:hint="eastAsia"/>
                <w:color w:val="auto"/>
                <w:kern w:val="0"/>
                <w:szCs w:val="21"/>
                <w:highlight w:val="none"/>
              </w:rPr>
              <w:t>2</w:t>
            </w: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设计交底不清晰或不能够提供合格的书面文件，每次扣0.5分。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3</w:t>
            </w:r>
          </w:p>
        </w:tc>
        <w:tc>
          <w:tcPr>
            <w:tcW w:w="9160" w:type="dxa"/>
            <w:vAlign w:val="center"/>
          </w:tcPr>
          <w:p>
            <w:pPr>
              <w:pStyle w:val="11"/>
              <w:jc w:val="left"/>
              <w:rPr>
                <w:color w:val="auto"/>
                <w:kern w:val="0"/>
                <w:szCs w:val="21"/>
                <w:highlight w:val="none"/>
              </w:rPr>
            </w:pPr>
            <w:r>
              <w:rPr>
                <w:rFonts w:hint="eastAsia"/>
                <w:color w:val="auto"/>
                <w:kern w:val="0"/>
                <w:szCs w:val="21"/>
                <w:highlight w:val="none"/>
              </w:rPr>
              <w:t>不能积极对二次深化单位出具的图纸进行审核、管理等，并提出相关要求，确保效果落地，每次扣1分。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2</w:t>
            </w:r>
          </w:p>
        </w:tc>
        <w:tc>
          <w:tcPr>
            <w:tcW w:w="9160" w:type="dxa"/>
            <w:vAlign w:val="center"/>
          </w:tcPr>
          <w:p>
            <w:pPr>
              <w:pStyle w:val="11"/>
              <w:jc w:val="left"/>
              <w:rPr>
                <w:color w:val="auto"/>
                <w:kern w:val="0"/>
                <w:szCs w:val="21"/>
                <w:highlight w:val="none"/>
              </w:rPr>
            </w:pPr>
            <w:r>
              <w:rPr>
                <w:rFonts w:hint="eastAsia"/>
                <w:color w:val="auto"/>
                <w:kern w:val="0"/>
                <w:szCs w:val="21"/>
                <w:highlight w:val="none"/>
              </w:rPr>
              <w:t>未按要求落实驻场设计人员，或驻场设计人员配合差的；设计人员不能按照合同规定定期巡场，提出并解决设计相关问题，每次扣1分。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3</w:t>
            </w:r>
          </w:p>
        </w:tc>
        <w:tc>
          <w:tcPr>
            <w:tcW w:w="9160" w:type="dxa"/>
            <w:vAlign w:val="center"/>
          </w:tcPr>
          <w:p>
            <w:pPr>
              <w:pStyle w:val="11"/>
              <w:jc w:val="left"/>
              <w:rPr>
                <w:color w:val="auto"/>
                <w:kern w:val="0"/>
                <w:szCs w:val="21"/>
                <w:highlight w:val="none"/>
              </w:rPr>
            </w:pPr>
            <w:r>
              <w:rPr>
                <w:color w:val="auto"/>
                <w:kern w:val="0"/>
                <w:szCs w:val="21"/>
                <w:highlight w:val="none"/>
              </w:rPr>
              <w:t>不服从业主安排，拒绝参加有关工程会议、协助业主解决各种事务性问题；指导现场施工、协调施工中相关问题以及按合同规定配合和处理工程变更等工作不主动、不积极</w:t>
            </w:r>
            <w:r>
              <w:rPr>
                <w:rFonts w:hint="eastAsia"/>
                <w:color w:val="auto"/>
                <w:kern w:val="0"/>
                <w:szCs w:val="21"/>
                <w:highlight w:val="none"/>
              </w:rPr>
              <w:t>；设计单位对现场提出的问题反应不及时，处理方案没有进行了经济比较或没有考虑现场施工的便利性，每次扣1分。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restart"/>
            <w:vAlign w:val="center"/>
          </w:tcPr>
          <w:p>
            <w:pPr>
              <w:pStyle w:val="11"/>
              <w:jc w:val="center"/>
              <w:rPr>
                <w:color w:val="auto"/>
                <w:kern w:val="0"/>
                <w:szCs w:val="21"/>
                <w:highlight w:val="none"/>
              </w:rPr>
            </w:pPr>
            <w:r>
              <w:rPr>
                <w:rFonts w:hint="eastAsia"/>
                <w:color w:val="auto"/>
                <w:kern w:val="0"/>
                <w:szCs w:val="21"/>
                <w:highlight w:val="none"/>
              </w:rPr>
              <w:t>成本管理</w:t>
            </w:r>
          </w:p>
          <w:p>
            <w:pPr>
              <w:pStyle w:val="11"/>
              <w:jc w:val="center"/>
              <w:rPr>
                <w:b/>
                <w:color w:val="auto"/>
                <w:kern w:val="0"/>
                <w:szCs w:val="21"/>
                <w:highlight w:val="none"/>
              </w:rPr>
            </w:pPr>
            <w:r>
              <w:rPr>
                <w:rFonts w:hint="eastAsia"/>
                <w:color w:val="auto"/>
                <w:kern w:val="0"/>
                <w:szCs w:val="21"/>
                <w:highlight w:val="none"/>
              </w:rPr>
              <w:t>（6分）</w:t>
            </w:r>
          </w:p>
        </w:tc>
        <w:tc>
          <w:tcPr>
            <w:tcW w:w="597" w:type="dxa"/>
            <w:vAlign w:val="center"/>
          </w:tcPr>
          <w:p>
            <w:pPr>
              <w:pStyle w:val="11"/>
              <w:jc w:val="center"/>
              <w:rPr>
                <w:color w:val="auto"/>
                <w:kern w:val="0"/>
                <w:szCs w:val="21"/>
                <w:highlight w:val="none"/>
              </w:rPr>
            </w:pPr>
            <w:r>
              <w:rPr>
                <w:rFonts w:hint="eastAsia"/>
                <w:color w:val="auto"/>
                <w:kern w:val="0"/>
                <w:szCs w:val="21"/>
                <w:highlight w:val="none"/>
              </w:rPr>
              <w:t>4</w:t>
            </w:r>
          </w:p>
        </w:tc>
        <w:tc>
          <w:tcPr>
            <w:tcW w:w="9160" w:type="dxa"/>
            <w:vAlign w:val="center"/>
          </w:tcPr>
          <w:p>
            <w:pPr>
              <w:pStyle w:val="11"/>
              <w:jc w:val="left"/>
              <w:rPr>
                <w:color w:val="auto"/>
                <w:kern w:val="0"/>
                <w:szCs w:val="21"/>
                <w:highlight w:val="none"/>
              </w:rPr>
            </w:pPr>
            <w:r>
              <w:rPr>
                <w:rFonts w:hint="eastAsia"/>
                <w:color w:val="auto"/>
                <w:kern w:val="0"/>
                <w:szCs w:val="21"/>
                <w:highlight w:val="none"/>
              </w:rPr>
              <w:t>因设计单位原因未按投资估算或成本限额进行限额设计，出现投资概算超估算或者预算超概算的情况，扣4分。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3</w:t>
            </w:r>
          </w:p>
        </w:tc>
        <w:tc>
          <w:tcPr>
            <w:tcW w:w="9160" w:type="dxa"/>
            <w:vAlign w:val="center"/>
          </w:tcPr>
          <w:p>
            <w:pPr>
              <w:pStyle w:val="11"/>
              <w:jc w:val="left"/>
              <w:rPr>
                <w:color w:val="auto"/>
                <w:kern w:val="0"/>
                <w:szCs w:val="21"/>
                <w:highlight w:val="none"/>
              </w:rPr>
            </w:pPr>
            <w:r>
              <w:rPr>
                <w:rFonts w:hint="eastAsia"/>
                <w:color w:val="auto"/>
                <w:kern w:val="0"/>
                <w:szCs w:val="21"/>
                <w:highlight w:val="none"/>
              </w:rPr>
              <w:t>设计成果有不符合当地行业常用做法、明显超常规设计导致投资增加，且无正当理由的，每次扣1分。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center"/>
              <w:rPr>
                <w:bCs/>
                <w:color w:val="auto"/>
                <w:kern w:val="0"/>
                <w:szCs w:val="21"/>
                <w:highlight w:val="none"/>
              </w:rPr>
            </w:pPr>
          </w:p>
        </w:tc>
        <w:tc>
          <w:tcPr>
            <w:tcW w:w="1165" w:type="dxa"/>
            <w:vMerge w:val="continue"/>
            <w:vAlign w:val="center"/>
          </w:tcPr>
          <w:p>
            <w:pPr>
              <w:pStyle w:val="11"/>
              <w:jc w:val="center"/>
              <w:rPr>
                <w:b/>
                <w:color w:val="auto"/>
                <w:kern w:val="0"/>
                <w:szCs w:val="21"/>
                <w:highlight w:val="none"/>
              </w:rPr>
            </w:pPr>
          </w:p>
        </w:tc>
        <w:tc>
          <w:tcPr>
            <w:tcW w:w="1354" w:type="dxa"/>
            <w:vMerge w:val="continue"/>
            <w:vAlign w:val="center"/>
          </w:tcPr>
          <w:p>
            <w:pPr>
              <w:pStyle w:val="11"/>
              <w:jc w:val="center"/>
              <w:rPr>
                <w:b/>
                <w:color w:val="auto"/>
                <w:kern w:val="0"/>
                <w:szCs w:val="21"/>
                <w:highlight w:val="none"/>
              </w:rPr>
            </w:pPr>
          </w:p>
        </w:tc>
        <w:tc>
          <w:tcPr>
            <w:tcW w:w="597" w:type="dxa"/>
            <w:vAlign w:val="center"/>
          </w:tcPr>
          <w:p>
            <w:pPr>
              <w:pStyle w:val="11"/>
              <w:jc w:val="center"/>
              <w:rPr>
                <w:color w:val="auto"/>
                <w:kern w:val="0"/>
                <w:szCs w:val="21"/>
                <w:highlight w:val="none"/>
              </w:rPr>
            </w:pPr>
            <w:r>
              <w:rPr>
                <w:rFonts w:hint="eastAsia"/>
                <w:color w:val="auto"/>
                <w:kern w:val="0"/>
                <w:szCs w:val="21"/>
                <w:highlight w:val="none"/>
              </w:rPr>
              <w:t>3</w:t>
            </w:r>
          </w:p>
        </w:tc>
        <w:tc>
          <w:tcPr>
            <w:tcW w:w="9160" w:type="dxa"/>
            <w:vAlign w:val="center"/>
          </w:tcPr>
          <w:p>
            <w:pPr>
              <w:pStyle w:val="11"/>
              <w:jc w:val="left"/>
              <w:rPr>
                <w:color w:val="auto"/>
                <w:kern w:val="0"/>
                <w:szCs w:val="21"/>
                <w:highlight w:val="none"/>
              </w:rPr>
            </w:pPr>
            <w:r>
              <w:rPr>
                <w:rFonts w:hint="eastAsia"/>
                <w:color w:val="auto"/>
                <w:kern w:val="0"/>
                <w:szCs w:val="21"/>
                <w:highlight w:val="none"/>
              </w:rPr>
              <w:t>超出限额设计未采取积极有效措施，或采取措施但无法保证设计质量，扣3分。</w:t>
            </w:r>
          </w:p>
        </w:tc>
        <w:tc>
          <w:tcPr>
            <w:tcW w:w="972" w:type="dxa"/>
            <w:vAlign w:val="center"/>
          </w:tcPr>
          <w:p>
            <w:pPr>
              <w:pStyle w:val="11"/>
              <w:jc w:val="center"/>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pStyle w:val="11"/>
              <w:jc w:val="center"/>
              <w:rPr>
                <w:bCs/>
                <w:color w:val="auto"/>
                <w:kern w:val="0"/>
                <w:szCs w:val="21"/>
                <w:highlight w:val="none"/>
              </w:rPr>
            </w:pPr>
            <w:r>
              <w:rPr>
                <w:rFonts w:hint="eastAsia"/>
                <w:bCs/>
                <w:color w:val="auto"/>
                <w:kern w:val="0"/>
                <w:szCs w:val="21"/>
                <w:highlight w:val="none"/>
              </w:rPr>
              <w:t>六</w:t>
            </w:r>
          </w:p>
        </w:tc>
        <w:tc>
          <w:tcPr>
            <w:tcW w:w="2519" w:type="dxa"/>
            <w:gridSpan w:val="2"/>
            <w:vMerge w:val="restart"/>
            <w:vAlign w:val="center"/>
          </w:tcPr>
          <w:p>
            <w:pPr>
              <w:pStyle w:val="11"/>
              <w:jc w:val="center"/>
              <w:rPr>
                <w:b/>
                <w:color w:val="auto"/>
                <w:kern w:val="0"/>
                <w:szCs w:val="21"/>
                <w:highlight w:val="none"/>
              </w:rPr>
            </w:pPr>
            <w:r>
              <w:rPr>
                <w:rFonts w:hint="eastAsia"/>
                <w:bCs/>
                <w:color w:val="auto"/>
                <w:kern w:val="0"/>
                <w:szCs w:val="21"/>
                <w:highlight w:val="none"/>
              </w:rPr>
              <w:t>加分项</w:t>
            </w:r>
          </w:p>
        </w:tc>
        <w:tc>
          <w:tcPr>
            <w:tcW w:w="597" w:type="dxa"/>
            <w:vMerge w:val="restart"/>
            <w:vAlign w:val="center"/>
          </w:tcPr>
          <w:p>
            <w:pPr>
              <w:pStyle w:val="11"/>
              <w:jc w:val="center"/>
              <w:rPr>
                <w:rFonts w:eastAsia="仿宋_GB2312"/>
                <w:b/>
                <w:color w:val="auto"/>
                <w:kern w:val="0"/>
                <w:szCs w:val="21"/>
                <w:highlight w:val="none"/>
              </w:rPr>
            </w:pPr>
            <w:r>
              <w:rPr>
                <w:color w:val="auto"/>
                <w:kern w:val="0"/>
                <w:szCs w:val="21"/>
                <w:highlight w:val="none"/>
              </w:rPr>
              <w:t>/</w:t>
            </w:r>
          </w:p>
        </w:tc>
        <w:tc>
          <w:tcPr>
            <w:tcW w:w="9160" w:type="dxa"/>
            <w:vAlign w:val="center"/>
          </w:tcPr>
          <w:p>
            <w:pPr>
              <w:pStyle w:val="11"/>
              <w:jc w:val="left"/>
              <w:rPr>
                <w:color w:val="auto"/>
                <w:kern w:val="0"/>
                <w:szCs w:val="21"/>
                <w:highlight w:val="none"/>
              </w:rPr>
            </w:pPr>
            <w:r>
              <w:rPr>
                <w:rFonts w:hint="eastAsia"/>
                <w:color w:val="auto"/>
                <w:kern w:val="0"/>
                <w:szCs w:val="21"/>
                <w:highlight w:val="none"/>
              </w:rPr>
              <w:t>1.</w:t>
            </w:r>
            <w:r>
              <w:rPr>
                <w:color w:val="auto"/>
                <w:kern w:val="0"/>
                <w:szCs w:val="21"/>
                <w:highlight w:val="none"/>
              </w:rPr>
              <w:t>获国家级设计奖项的，加15分</w:t>
            </w:r>
            <w:r>
              <w:rPr>
                <w:rFonts w:hint="eastAsia"/>
                <w:color w:val="auto"/>
                <w:kern w:val="0"/>
                <w:szCs w:val="21"/>
                <w:highlight w:val="none"/>
              </w:rPr>
              <w:t>；</w:t>
            </w:r>
          </w:p>
        </w:tc>
        <w:tc>
          <w:tcPr>
            <w:tcW w:w="972" w:type="dxa"/>
            <w:vMerge w:val="restart"/>
            <w:vAlign w:val="center"/>
          </w:tcPr>
          <w:p>
            <w:pPr>
              <w:pStyle w:val="11"/>
              <w:jc w:val="left"/>
              <w:rPr>
                <w:color w:val="auto"/>
                <w:kern w:val="0"/>
                <w:szCs w:val="21"/>
                <w:highlight w:val="none"/>
              </w:rPr>
            </w:pPr>
          </w:p>
        </w:tc>
        <w:tc>
          <w:tcPr>
            <w:tcW w:w="825" w:type="dxa"/>
            <w:vMerge w:val="restart"/>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left"/>
              <w:rPr>
                <w:color w:val="auto"/>
                <w:szCs w:val="21"/>
                <w:highlight w:val="none"/>
              </w:rPr>
            </w:pPr>
          </w:p>
        </w:tc>
        <w:tc>
          <w:tcPr>
            <w:tcW w:w="2519" w:type="dxa"/>
            <w:gridSpan w:val="2"/>
            <w:vMerge w:val="continue"/>
            <w:vAlign w:val="center"/>
          </w:tcPr>
          <w:p>
            <w:pPr>
              <w:pStyle w:val="11"/>
              <w:jc w:val="left"/>
              <w:rPr>
                <w:color w:val="auto"/>
                <w:szCs w:val="21"/>
                <w:highlight w:val="none"/>
              </w:rPr>
            </w:pPr>
          </w:p>
        </w:tc>
        <w:tc>
          <w:tcPr>
            <w:tcW w:w="597" w:type="dxa"/>
            <w:vMerge w:val="continue"/>
            <w:vAlign w:val="center"/>
          </w:tcPr>
          <w:p>
            <w:pPr>
              <w:pStyle w:val="11"/>
              <w:jc w:val="left"/>
              <w:rPr>
                <w:color w:val="auto"/>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2.</w:t>
            </w:r>
            <w:r>
              <w:rPr>
                <w:color w:val="auto"/>
                <w:kern w:val="0"/>
                <w:szCs w:val="21"/>
                <w:highlight w:val="none"/>
              </w:rPr>
              <w:t>获省部级设计奖项的，加</w:t>
            </w:r>
            <w:r>
              <w:rPr>
                <w:rFonts w:hint="eastAsia"/>
                <w:color w:val="auto"/>
                <w:kern w:val="0"/>
                <w:szCs w:val="21"/>
                <w:highlight w:val="none"/>
              </w:rPr>
              <w:t>10</w:t>
            </w:r>
            <w:r>
              <w:rPr>
                <w:color w:val="auto"/>
                <w:kern w:val="0"/>
                <w:szCs w:val="21"/>
                <w:highlight w:val="none"/>
              </w:rPr>
              <w:t>分</w:t>
            </w:r>
            <w:r>
              <w:rPr>
                <w:rFonts w:hint="eastAsia"/>
                <w:color w:val="auto"/>
                <w:kern w:val="0"/>
                <w:szCs w:val="21"/>
                <w:highlight w:val="none"/>
              </w:rPr>
              <w:t>；</w:t>
            </w:r>
          </w:p>
        </w:tc>
        <w:tc>
          <w:tcPr>
            <w:tcW w:w="972" w:type="dxa"/>
            <w:vMerge w:val="continue"/>
            <w:vAlign w:val="center"/>
          </w:tcPr>
          <w:p>
            <w:pPr>
              <w:pStyle w:val="11"/>
              <w:jc w:val="left"/>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pStyle w:val="11"/>
              <w:jc w:val="left"/>
              <w:rPr>
                <w:color w:val="auto"/>
                <w:kern w:val="0"/>
                <w:szCs w:val="21"/>
                <w:highlight w:val="none"/>
              </w:rPr>
            </w:pPr>
          </w:p>
        </w:tc>
        <w:tc>
          <w:tcPr>
            <w:tcW w:w="2519" w:type="dxa"/>
            <w:gridSpan w:val="2"/>
            <w:vMerge w:val="continue"/>
            <w:vAlign w:val="center"/>
          </w:tcPr>
          <w:p>
            <w:pPr>
              <w:pStyle w:val="11"/>
              <w:jc w:val="left"/>
              <w:rPr>
                <w:color w:val="auto"/>
                <w:kern w:val="0"/>
                <w:szCs w:val="21"/>
                <w:highlight w:val="none"/>
              </w:rPr>
            </w:pPr>
          </w:p>
        </w:tc>
        <w:tc>
          <w:tcPr>
            <w:tcW w:w="597" w:type="dxa"/>
            <w:vMerge w:val="continue"/>
            <w:vAlign w:val="center"/>
          </w:tcPr>
          <w:p>
            <w:pPr>
              <w:pStyle w:val="11"/>
              <w:jc w:val="left"/>
              <w:rPr>
                <w:color w:val="auto"/>
                <w:kern w:val="0"/>
                <w:szCs w:val="21"/>
                <w:highlight w:val="none"/>
              </w:rPr>
            </w:pPr>
          </w:p>
        </w:tc>
        <w:tc>
          <w:tcPr>
            <w:tcW w:w="9160" w:type="dxa"/>
            <w:vAlign w:val="center"/>
          </w:tcPr>
          <w:p>
            <w:pPr>
              <w:pStyle w:val="11"/>
              <w:jc w:val="left"/>
              <w:rPr>
                <w:color w:val="auto"/>
                <w:kern w:val="0"/>
                <w:szCs w:val="21"/>
                <w:highlight w:val="none"/>
              </w:rPr>
            </w:pPr>
            <w:r>
              <w:rPr>
                <w:rFonts w:hint="eastAsia"/>
                <w:color w:val="auto"/>
                <w:kern w:val="0"/>
                <w:szCs w:val="21"/>
                <w:highlight w:val="none"/>
              </w:rPr>
              <w:t>3.</w:t>
            </w:r>
            <w:r>
              <w:rPr>
                <w:color w:val="auto"/>
                <w:kern w:val="0"/>
                <w:szCs w:val="21"/>
                <w:highlight w:val="none"/>
              </w:rPr>
              <w:t>获市级设计奖项的，加</w:t>
            </w:r>
            <w:r>
              <w:rPr>
                <w:rFonts w:hint="eastAsia"/>
                <w:color w:val="auto"/>
                <w:kern w:val="0"/>
                <w:szCs w:val="21"/>
                <w:highlight w:val="none"/>
              </w:rPr>
              <w:t>5</w:t>
            </w:r>
            <w:r>
              <w:rPr>
                <w:color w:val="auto"/>
                <w:kern w:val="0"/>
                <w:szCs w:val="21"/>
                <w:highlight w:val="none"/>
              </w:rPr>
              <w:t>分</w:t>
            </w:r>
            <w:r>
              <w:rPr>
                <w:rFonts w:hint="eastAsia"/>
                <w:color w:val="auto"/>
                <w:kern w:val="0"/>
                <w:szCs w:val="21"/>
                <w:highlight w:val="none"/>
              </w:rPr>
              <w:t>。</w:t>
            </w:r>
          </w:p>
        </w:tc>
        <w:tc>
          <w:tcPr>
            <w:tcW w:w="972" w:type="dxa"/>
            <w:vMerge w:val="continue"/>
            <w:vAlign w:val="center"/>
          </w:tcPr>
          <w:p>
            <w:pPr>
              <w:pStyle w:val="11"/>
              <w:jc w:val="left"/>
              <w:rPr>
                <w:color w:val="auto"/>
                <w:kern w:val="0"/>
                <w:szCs w:val="21"/>
                <w:highlight w:val="none"/>
              </w:rPr>
            </w:pPr>
          </w:p>
        </w:tc>
        <w:tc>
          <w:tcPr>
            <w:tcW w:w="825" w:type="dxa"/>
            <w:vMerge w:val="continue"/>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11" w:type="dxa"/>
            <w:gridSpan w:val="3"/>
            <w:vAlign w:val="center"/>
          </w:tcPr>
          <w:p>
            <w:pPr>
              <w:pStyle w:val="11"/>
              <w:adjustRightInd w:val="0"/>
              <w:snapToGrid w:val="0"/>
              <w:jc w:val="center"/>
              <w:rPr>
                <w:b/>
                <w:color w:val="auto"/>
                <w:kern w:val="0"/>
                <w:szCs w:val="21"/>
                <w:highlight w:val="none"/>
              </w:rPr>
            </w:pPr>
            <w:r>
              <w:rPr>
                <w:b/>
                <w:color w:val="auto"/>
                <w:kern w:val="0"/>
                <w:szCs w:val="21"/>
                <w:highlight w:val="none"/>
              </w:rPr>
              <w:t>合　计</w:t>
            </w:r>
            <w:r>
              <w:rPr>
                <w:rFonts w:hint="eastAsia"/>
                <w:b/>
                <w:color w:val="auto"/>
                <w:kern w:val="0"/>
                <w:szCs w:val="21"/>
                <w:highlight w:val="none"/>
              </w:rPr>
              <w:t>（含加、减分）</w:t>
            </w:r>
          </w:p>
        </w:tc>
        <w:tc>
          <w:tcPr>
            <w:tcW w:w="597" w:type="dxa"/>
            <w:vAlign w:val="center"/>
          </w:tcPr>
          <w:p>
            <w:pPr>
              <w:pStyle w:val="11"/>
              <w:adjustRightInd w:val="0"/>
              <w:snapToGrid w:val="0"/>
              <w:jc w:val="center"/>
              <w:rPr>
                <w:color w:val="auto"/>
                <w:kern w:val="0"/>
                <w:szCs w:val="21"/>
                <w:highlight w:val="none"/>
              </w:rPr>
            </w:pPr>
            <w:r>
              <w:rPr>
                <w:color w:val="auto"/>
                <w:kern w:val="0"/>
                <w:szCs w:val="21"/>
                <w:highlight w:val="none"/>
              </w:rPr>
              <w:t>100</w:t>
            </w:r>
          </w:p>
        </w:tc>
        <w:tc>
          <w:tcPr>
            <w:tcW w:w="9160" w:type="dxa"/>
            <w:vAlign w:val="center"/>
          </w:tcPr>
          <w:p>
            <w:pPr>
              <w:pStyle w:val="11"/>
              <w:adjustRightInd w:val="0"/>
              <w:snapToGrid w:val="0"/>
              <w:rPr>
                <w:color w:val="auto"/>
                <w:kern w:val="0"/>
                <w:szCs w:val="21"/>
                <w:highlight w:val="none"/>
              </w:rPr>
            </w:pPr>
          </w:p>
        </w:tc>
        <w:tc>
          <w:tcPr>
            <w:tcW w:w="972" w:type="dxa"/>
            <w:vAlign w:val="center"/>
          </w:tcPr>
          <w:p>
            <w:pPr>
              <w:pStyle w:val="11"/>
              <w:jc w:val="left"/>
              <w:rPr>
                <w:color w:val="auto"/>
                <w:kern w:val="0"/>
                <w:szCs w:val="21"/>
                <w:highlight w:val="none"/>
              </w:rPr>
            </w:pPr>
          </w:p>
        </w:tc>
        <w:tc>
          <w:tcPr>
            <w:tcW w:w="825" w:type="dxa"/>
            <w:vAlign w:val="center"/>
          </w:tcPr>
          <w:p>
            <w:pPr>
              <w:pStyle w:val="11"/>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4565" w:type="dxa"/>
            <w:gridSpan w:val="7"/>
            <w:vAlign w:val="center"/>
          </w:tcPr>
          <w:p>
            <w:pPr>
              <w:pStyle w:val="11"/>
              <w:jc w:val="left"/>
              <w:rPr>
                <w:color w:val="auto"/>
                <w:kern w:val="0"/>
                <w:szCs w:val="21"/>
                <w:highlight w:val="none"/>
              </w:rPr>
            </w:pPr>
            <w:r>
              <w:rPr>
                <w:b/>
                <w:color w:val="auto"/>
                <w:kern w:val="0"/>
                <w:szCs w:val="21"/>
                <w:highlight w:val="none"/>
              </w:rPr>
              <w:t>评价</w:t>
            </w:r>
            <w:r>
              <w:rPr>
                <w:rFonts w:hint="eastAsia"/>
                <w:b/>
                <w:color w:val="auto"/>
                <w:kern w:val="0"/>
                <w:szCs w:val="21"/>
                <w:highlight w:val="none"/>
              </w:rPr>
              <w:t>工作组</w:t>
            </w:r>
            <w:r>
              <w:rPr>
                <w:b/>
                <w:color w:val="auto"/>
                <w:kern w:val="0"/>
                <w:szCs w:val="21"/>
                <w:highlight w:val="none"/>
              </w:rPr>
              <w:t>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14565" w:type="dxa"/>
            <w:gridSpan w:val="7"/>
          </w:tcPr>
          <w:p>
            <w:pPr>
              <w:pStyle w:val="11"/>
              <w:widowControl/>
              <w:spacing w:line="200" w:lineRule="exact"/>
              <w:rPr>
                <w:b/>
                <w:color w:val="auto"/>
                <w:kern w:val="0"/>
                <w:szCs w:val="21"/>
                <w:highlight w:val="none"/>
              </w:rPr>
            </w:pPr>
          </w:p>
          <w:p>
            <w:pPr>
              <w:pStyle w:val="11"/>
              <w:widowControl/>
              <w:rPr>
                <w:b/>
                <w:color w:val="auto"/>
                <w:kern w:val="0"/>
                <w:szCs w:val="21"/>
                <w:highlight w:val="none"/>
              </w:rPr>
            </w:pPr>
            <w:r>
              <w:rPr>
                <w:rFonts w:hint="eastAsia"/>
                <w:b/>
                <w:color w:val="auto"/>
                <w:kern w:val="0"/>
                <w:szCs w:val="21"/>
                <w:highlight w:val="none"/>
              </w:rPr>
              <w:t>备</w:t>
            </w:r>
            <w:r>
              <w:rPr>
                <w:b/>
                <w:color w:val="auto"/>
                <w:kern w:val="0"/>
                <w:szCs w:val="21"/>
                <w:highlight w:val="none"/>
              </w:rPr>
              <w:t>注：</w:t>
            </w:r>
          </w:p>
          <w:p>
            <w:pPr>
              <w:pStyle w:val="11"/>
              <w:widowControl/>
              <w:ind w:firstLine="420" w:firstLineChars="200"/>
              <w:rPr>
                <w:color w:val="auto"/>
                <w:szCs w:val="21"/>
                <w:highlight w:val="none"/>
              </w:rPr>
            </w:pPr>
            <w:r>
              <w:rPr>
                <w:color w:val="auto"/>
                <w:szCs w:val="21"/>
                <w:highlight w:val="none"/>
              </w:rPr>
              <w:t>1.评价人员应根据设计合同的类别和特点，明确评价指标指向，按照合同执行的不同阶段，灵活运用各评价指标；</w:t>
            </w:r>
          </w:p>
          <w:p>
            <w:pPr>
              <w:pStyle w:val="11"/>
              <w:widowControl/>
              <w:ind w:firstLine="420" w:firstLineChars="200"/>
              <w:rPr>
                <w:color w:val="auto"/>
                <w:szCs w:val="21"/>
                <w:highlight w:val="none"/>
              </w:rPr>
            </w:pPr>
            <w:r>
              <w:rPr>
                <w:rFonts w:hint="eastAsia"/>
                <w:color w:val="auto"/>
                <w:szCs w:val="21"/>
                <w:highlight w:val="none"/>
              </w:rPr>
              <w:t>2.总分超过100分的按100分计算。</w:t>
            </w:r>
          </w:p>
          <w:p>
            <w:pPr>
              <w:pStyle w:val="11"/>
              <w:widowControl/>
              <w:ind w:firstLine="420" w:firstLineChars="200"/>
              <w:rPr>
                <w:color w:val="auto"/>
                <w:szCs w:val="21"/>
                <w:highlight w:val="none"/>
              </w:rPr>
            </w:pPr>
            <w:r>
              <w:rPr>
                <w:rFonts w:hint="eastAsia"/>
                <w:color w:val="auto"/>
                <w:szCs w:val="21"/>
                <w:highlight w:val="none"/>
              </w:rPr>
              <w:t>3.项目专业组的考评打分由前期设计部项目负责人统筹管理团队考评打分，项目前期由前期设计部的项目设计管理团队综合打分。当涉及分项内容“施工配合”、“成本控制”时，应由前期设计部、工程部、成本合约部的项目管理团队成员就上述两分项内容共同进行考评打分，采用平均分的方式得出上述分项内容的考评分数，在评价人员签名中列出各自打分及算式并签名。</w:t>
            </w:r>
          </w:p>
        </w:tc>
      </w:tr>
    </w:tbl>
    <w:p>
      <w:pPr>
        <w:pStyle w:val="11"/>
        <w:rPr>
          <w:color w:val="auto"/>
          <w:highlight w:val="none"/>
        </w:rPr>
      </w:pPr>
    </w:p>
    <w:p>
      <w:pPr>
        <w:pStyle w:val="11"/>
        <w:rPr>
          <w:color w:val="auto"/>
          <w:highlight w:val="none"/>
        </w:rPr>
      </w:pPr>
    </w:p>
    <w:p>
      <w:pPr>
        <w:pStyle w:val="11"/>
        <w:rPr>
          <w:color w:val="auto"/>
          <w:szCs w:val="22"/>
          <w:highlight w:val="none"/>
        </w:rPr>
      </w:pPr>
    </w:p>
    <w:p>
      <w:pPr>
        <w:pStyle w:val="4"/>
        <w:adjustRightInd w:val="0"/>
        <w:snapToGrid w:val="0"/>
        <w:spacing w:after="0" w:line="360" w:lineRule="auto"/>
        <w:ind w:firstLine="420" w:firstLineChars="200"/>
        <w:rPr>
          <w:color w:val="auto"/>
          <w:highlight w:val="none"/>
        </w:rPr>
        <w:sectPr>
          <w:pgSz w:w="16838" w:h="11906" w:orient="landscape"/>
          <w:pgMar w:top="1134" w:right="1134" w:bottom="1134" w:left="1134" w:header="1247" w:footer="737" w:gutter="0"/>
          <w:cols w:space="720" w:num="1"/>
          <w:docGrid w:linePitch="380" w:charSpace="-4301"/>
        </w:sectPr>
      </w:pPr>
    </w:p>
    <w:p>
      <w:pPr>
        <w:keepNext/>
        <w:keepLines/>
        <w:widowControl/>
        <w:spacing w:line="360" w:lineRule="auto"/>
        <w:jc w:val="left"/>
        <w:outlineLvl w:val="1"/>
        <w:rPr>
          <w:rFonts w:hint="eastAsia" w:ascii="宋体" w:hAnsi="宋体" w:eastAsia="宋体" w:cs="宋体"/>
          <w:b/>
          <w:color w:val="auto"/>
          <w:szCs w:val="21"/>
          <w:highlight w:val="none"/>
        </w:rPr>
      </w:pPr>
      <w:bookmarkStart w:id="156" w:name="OLE_LINK21"/>
      <w:r>
        <w:rPr>
          <w:rFonts w:hint="eastAsia" w:ascii="宋体" w:hAnsi="宋体" w:eastAsia="宋体" w:cs="宋体"/>
          <w:b/>
          <w:color w:val="auto"/>
          <w:szCs w:val="21"/>
          <w:highlight w:val="none"/>
        </w:rPr>
        <w:t>附件3：项目投入乙方员安排表</w:t>
      </w:r>
    </w:p>
    <w:tbl>
      <w:tblPr>
        <w:tblStyle w:val="7"/>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50"/>
        <w:gridCol w:w="517"/>
        <w:gridCol w:w="483"/>
        <w:gridCol w:w="557"/>
        <w:gridCol w:w="750"/>
        <w:gridCol w:w="735"/>
        <w:gridCol w:w="810"/>
        <w:gridCol w:w="810"/>
        <w:gridCol w:w="127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序号</w:t>
            </w:r>
          </w:p>
        </w:tc>
        <w:tc>
          <w:tcPr>
            <w:tcW w:w="550"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姓名</w:t>
            </w:r>
          </w:p>
        </w:tc>
        <w:tc>
          <w:tcPr>
            <w:tcW w:w="517"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学历</w:t>
            </w:r>
          </w:p>
        </w:tc>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专业</w:t>
            </w:r>
          </w:p>
        </w:tc>
        <w:tc>
          <w:tcPr>
            <w:tcW w:w="557"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毕业时间</w:t>
            </w:r>
          </w:p>
        </w:tc>
        <w:tc>
          <w:tcPr>
            <w:tcW w:w="750"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资格证书</w:t>
            </w:r>
          </w:p>
        </w:tc>
        <w:tc>
          <w:tcPr>
            <w:tcW w:w="735"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职称证书</w:t>
            </w:r>
          </w:p>
        </w:tc>
        <w:tc>
          <w:tcPr>
            <w:tcW w:w="810"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工作经验年限</w:t>
            </w:r>
          </w:p>
        </w:tc>
        <w:tc>
          <w:tcPr>
            <w:tcW w:w="810"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在本单位工作年限</w:t>
            </w:r>
          </w:p>
        </w:tc>
        <w:tc>
          <w:tcPr>
            <w:tcW w:w="1275"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在单位中担任的职务</w:t>
            </w:r>
          </w:p>
        </w:tc>
        <w:tc>
          <w:tcPr>
            <w:tcW w:w="1215"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在本项目中担任的职务</w:t>
            </w:r>
          </w:p>
        </w:tc>
        <w:tc>
          <w:tcPr>
            <w:tcW w:w="1215" w:type="dxa"/>
            <w:shd w:val="clear" w:color="auto" w:fill="auto"/>
            <w:vAlign w:val="center"/>
          </w:tcPr>
          <w:p>
            <w:pPr>
              <w:widowControl/>
              <w:jc w:val="center"/>
              <w:rPr>
                <w:rFonts w:hint="default" w:ascii="等线" w:hAnsi="等线" w:eastAsia="等线" w:cs="宋体"/>
                <w:color w:val="auto"/>
                <w:kern w:val="0"/>
                <w:szCs w:val="21"/>
                <w:highlight w:val="none"/>
                <w:lang w:val="en-US" w:eastAsia="zh-CN"/>
              </w:rPr>
            </w:pPr>
            <w:r>
              <w:rPr>
                <w:rFonts w:hint="eastAsia" w:ascii="等线" w:hAnsi="等线" w:eastAsia="等线" w:cs="宋体"/>
                <w:color w:val="auto"/>
                <w:kern w:val="0"/>
                <w:szCs w:val="21"/>
                <w:highlight w:val="no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1</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2</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3</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4</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5</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6</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7</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8</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9</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10</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11</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12</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3" w:type="dxa"/>
            <w:shd w:val="clear" w:color="auto" w:fill="auto"/>
            <w:vAlign w:val="center"/>
          </w:tcPr>
          <w:p>
            <w:pPr>
              <w:widowControl/>
              <w:jc w:val="center"/>
              <w:rPr>
                <w:rFonts w:ascii="等线" w:hAnsi="等线" w:eastAsia="等线" w:cs="宋体"/>
                <w:color w:val="auto"/>
                <w:kern w:val="0"/>
                <w:szCs w:val="21"/>
                <w:highlight w:val="none"/>
              </w:rPr>
            </w:pPr>
            <w:r>
              <w:rPr>
                <w:rFonts w:hint="eastAsia" w:ascii="等线" w:hAnsi="等线" w:eastAsia="等线" w:cs="宋体"/>
                <w:color w:val="auto"/>
                <w:kern w:val="0"/>
                <w:szCs w:val="21"/>
                <w:highlight w:val="none"/>
              </w:rPr>
              <w:t>13</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3" w:type="dxa"/>
            <w:shd w:val="clear" w:color="auto" w:fill="auto"/>
            <w:vAlign w:val="center"/>
          </w:tcPr>
          <w:p>
            <w:pPr>
              <w:widowControl/>
              <w:jc w:val="center"/>
              <w:rPr>
                <w:rFonts w:hint="default" w:ascii="等线" w:hAnsi="等线" w:eastAsia="等线" w:cs="宋体"/>
                <w:color w:val="auto"/>
                <w:kern w:val="0"/>
                <w:szCs w:val="21"/>
                <w:highlight w:val="none"/>
                <w:lang w:val="en-US" w:eastAsia="zh-CN"/>
              </w:rPr>
            </w:pPr>
            <w:r>
              <w:rPr>
                <w:rFonts w:hint="eastAsia" w:ascii="等线" w:hAnsi="等线" w:eastAsia="等线" w:cs="宋体"/>
                <w:color w:val="auto"/>
                <w:kern w:val="0"/>
                <w:szCs w:val="21"/>
                <w:highlight w:val="none"/>
                <w:lang w:val="en-US" w:eastAsia="zh-CN"/>
              </w:rPr>
              <w:t>14</w:t>
            </w:r>
          </w:p>
        </w:tc>
        <w:tc>
          <w:tcPr>
            <w:tcW w:w="550" w:type="dxa"/>
            <w:shd w:val="clear" w:color="auto" w:fill="auto"/>
            <w:vAlign w:val="center"/>
          </w:tcPr>
          <w:p>
            <w:pPr>
              <w:widowControl/>
              <w:jc w:val="center"/>
              <w:rPr>
                <w:rFonts w:ascii="等线" w:hAnsi="等线" w:eastAsia="等线" w:cs="宋体"/>
                <w:color w:val="auto"/>
                <w:kern w:val="0"/>
                <w:szCs w:val="21"/>
                <w:highlight w:val="none"/>
              </w:rPr>
            </w:pPr>
          </w:p>
        </w:tc>
        <w:tc>
          <w:tcPr>
            <w:tcW w:w="517" w:type="dxa"/>
            <w:shd w:val="clear" w:color="auto" w:fill="auto"/>
            <w:vAlign w:val="center"/>
          </w:tcPr>
          <w:p>
            <w:pPr>
              <w:widowControl/>
              <w:jc w:val="center"/>
              <w:rPr>
                <w:rFonts w:ascii="等线" w:hAnsi="等线" w:eastAsia="等线" w:cs="宋体"/>
                <w:color w:val="auto"/>
                <w:kern w:val="0"/>
                <w:szCs w:val="21"/>
                <w:highlight w:val="none"/>
              </w:rPr>
            </w:pPr>
          </w:p>
        </w:tc>
        <w:tc>
          <w:tcPr>
            <w:tcW w:w="483" w:type="dxa"/>
            <w:shd w:val="clear" w:color="auto" w:fill="auto"/>
            <w:vAlign w:val="center"/>
          </w:tcPr>
          <w:p>
            <w:pPr>
              <w:widowControl/>
              <w:jc w:val="center"/>
              <w:rPr>
                <w:rFonts w:ascii="等线" w:hAnsi="等线" w:eastAsia="等线" w:cs="宋体"/>
                <w:color w:val="auto"/>
                <w:kern w:val="0"/>
                <w:szCs w:val="21"/>
                <w:highlight w:val="none"/>
              </w:rPr>
            </w:pPr>
          </w:p>
        </w:tc>
        <w:tc>
          <w:tcPr>
            <w:tcW w:w="557" w:type="dxa"/>
            <w:shd w:val="clear" w:color="auto" w:fill="auto"/>
            <w:vAlign w:val="center"/>
          </w:tcPr>
          <w:p>
            <w:pPr>
              <w:widowControl/>
              <w:jc w:val="center"/>
              <w:rPr>
                <w:rFonts w:ascii="等线" w:hAnsi="等线" w:eastAsia="等线" w:cs="宋体"/>
                <w:color w:val="auto"/>
                <w:kern w:val="0"/>
                <w:szCs w:val="21"/>
                <w:highlight w:val="none"/>
              </w:rPr>
            </w:pPr>
          </w:p>
        </w:tc>
        <w:tc>
          <w:tcPr>
            <w:tcW w:w="750" w:type="dxa"/>
            <w:shd w:val="clear" w:color="auto" w:fill="auto"/>
            <w:vAlign w:val="center"/>
          </w:tcPr>
          <w:p>
            <w:pPr>
              <w:widowControl/>
              <w:jc w:val="center"/>
              <w:rPr>
                <w:rFonts w:ascii="等线" w:hAnsi="等线" w:eastAsia="等线" w:cs="宋体"/>
                <w:color w:val="auto"/>
                <w:kern w:val="0"/>
                <w:szCs w:val="21"/>
                <w:highlight w:val="none"/>
              </w:rPr>
            </w:pPr>
          </w:p>
        </w:tc>
        <w:tc>
          <w:tcPr>
            <w:tcW w:w="735"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810" w:type="dxa"/>
            <w:shd w:val="clear" w:color="auto" w:fill="auto"/>
            <w:vAlign w:val="center"/>
          </w:tcPr>
          <w:p>
            <w:pPr>
              <w:widowControl/>
              <w:jc w:val="center"/>
              <w:rPr>
                <w:rFonts w:ascii="等线" w:hAnsi="等线" w:eastAsia="等线" w:cs="宋体"/>
                <w:color w:val="auto"/>
                <w:kern w:val="0"/>
                <w:szCs w:val="21"/>
                <w:highlight w:val="none"/>
              </w:rPr>
            </w:pPr>
          </w:p>
        </w:tc>
        <w:tc>
          <w:tcPr>
            <w:tcW w:w="127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c>
          <w:tcPr>
            <w:tcW w:w="1215" w:type="dxa"/>
            <w:shd w:val="clear" w:color="auto" w:fill="auto"/>
            <w:vAlign w:val="center"/>
          </w:tcPr>
          <w:p>
            <w:pPr>
              <w:widowControl/>
              <w:jc w:val="center"/>
              <w:rPr>
                <w:rFonts w:ascii="等线" w:hAnsi="等线" w:eastAsia="等线" w:cs="宋体"/>
                <w:color w:val="auto"/>
                <w:kern w:val="0"/>
                <w:szCs w:val="21"/>
                <w:highlight w:val="none"/>
              </w:rPr>
            </w:pPr>
          </w:p>
        </w:tc>
      </w:tr>
    </w:tbl>
    <w:p>
      <w:pPr>
        <w:keepNext w:val="0"/>
        <w:keepLines w:val="0"/>
        <w:widowControl/>
        <w:spacing w:line="240" w:lineRule="auto"/>
        <w:jc w:val="left"/>
        <w:outlineLvl w:val="9"/>
        <w:rPr>
          <w:rFonts w:hint="eastAsia" w:ascii="宋体" w:hAnsi="宋体" w:eastAsia="宋体" w:cs="宋体"/>
          <w:b/>
          <w:color w:val="auto"/>
          <w:szCs w:val="21"/>
          <w:highlight w:val="none"/>
        </w:rPr>
      </w:pPr>
    </w:p>
    <w:p>
      <w:pPr>
        <w:rPr>
          <w:rFonts w:hint="eastAsia"/>
          <w:color w:val="auto"/>
          <w:highlight w:val="none"/>
        </w:rPr>
      </w:pPr>
      <w:r>
        <w:rPr>
          <w:rFonts w:hint="eastAsia"/>
          <w:color w:val="auto"/>
          <w:highlight w:val="none"/>
        </w:rPr>
        <w:br w:type="page"/>
      </w:r>
    </w:p>
    <w:p>
      <w:pPr>
        <w:pStyle w:val="6"/>
        <w:rPr>
          <w:rFonts w:hint="eastAsia"/>
          <w:color w:val="auto"/>
          <w:highlight w:val="none"/>
        </w:rPr>
      </w:pPr>
    </w:p>
    <w:p>
      <w:pPr>
        <w:keepNext/>
        <w:keepLines/>
        <w:widowControl/>
        <w:spacing w:line="360" w:lineRule="auto"/>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附件4：投标报价表</w:t>
      </w:r>
    </w:p>
    <w:bookmarkEnd w:id="156"/>
    <w:p>
      <w:pPr>
        <w:pStyle w:val="4"/>
        <w:adjustRightInd w:val="0"/>
        <w:snapToGrid w:val="0"/>
        <w:spacing w:after="0" w:line="360" w:lineRule="auto"/>
        <w:ind w:firstLine="420" w:firstLineChars="200"/>
        <w:rPr>
          <w:color w:val="auto"/>
          <w:highlight w:val="none"/>
        </w:rPr>
      </w:pPr>
    </w:p>
    <w:p>
      <w:pPr>
        <w:rPr>
          <w:highlight w:val="none"/>
        </w:rPr>
      </w:pPr>
    </w:p>
    <w:bookmarkEnd w:id="1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970" cy="18034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40970" cy="180340"/>
                      </a:xfrm>
                      <a:prstGeom prst="rect">
                        <a:avLst/>
                      </a:prstGeom>
                      <a:noFill/>
                      <a:ln w="6350">
                        <a:noFill/>
                      </a:ln>
                      <a:effectLst/>
                    </wps:spPr>
                    <wps:txbx>
                      <w:txbxContent>
                        <w:p>
                          <w:pPr>
                            <w:jc w:val="center"/>
                          </w:pPr>
                          <w:bookmarkStart w:id="157" w:name="OLE_LINK26"/>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63</w:t>
                          </w:r>
                          <w:r>
                            <w:rPr>
                              <w:rFonts w:hint="eastAsia" w:ascii="宋体" w:hAnsi="宋体" w:eastAsia="宋体" w:cs="宋体"/>
                              <w:lang w:val="zh-CN"/>
                            </w:rPr>
                            <w:fldChar w:fldCharType="end"/>
                          </w:r>
                          <w:bookmarkEnd w:id="157"/>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2pt;width:11.1pt;mso-position-horizontal:center;mso-position-horizontal-relative:margin;mso-wrap-style:none;z-index:251659264;mso-width-relative:page;mso-height-relative:page;" filled="f" stroked="f" coordsize="21600,21600" o:gfxdata="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PYtFPRAAAAAwEAAA8AAAAAAAAAAQAgAAAAIgAAAGRycy9kb3ducmV2LnhtbFBL&#10;AQIUABQAAAAIAIdO4kAA4687NgIAAGIEAAAOAAAAAAAAAAEAIAAAACABAABkcnMvZTJvRG9jLnht&#10;bFBLBQYAAAAABgAGAFkBAADIBQAAAAA=&#10;">
              <v:fill on="f" focussize="0,0"/>
              <v:stroke on="f" weight="0.5pt"/>
              <v:imagedata o:title=""/>
              <o:lock v:ext="edit" aspectratio="f"/>
              <v:textbox inset="0mm,0mm,0mm,0mm" style="mso-fit-shape-to-text:t;">
                <w:txbxContent>
                  <w:p>
                    <w:pPr>
                      <w:jc w:val="center"/>
                    </w:pPr>
                    <w:bookmarkStart w:id="157" w:name="OLE_LINK26"/>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63</w:t>
                    </w:r>
                    <w:r>
                      <w:rPr>
                        <w:rFonts w:hint="eastAsia" w:ascii="宋体" w:hAnsi="宋体" w:eastAsia="宋体" w:cs="宋体"/>
                        <w:lang w:val="zh-CN"/>
                      </w:rPr>
                      <w:fldChar w:fldCharType="end"/>
                    </w:r>
                    <w:bookmarkEnd w:id="157"/>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45458"/>
    <w:multiLevelType w:val="singleLevel"/>
    <w:tmpl w:val="3D545458"/>
    <w:lvl w:ilvl="0" w:tentative="0">
      <w:start w:val="15"/>
      <w:numFmt w:val="chineseCounting"/>
      <w:suff w:val="nothing"/>
      <w:lvlText w:val="%1、"/>
      <w:lvlJc w:val="left"/>
      <w:rPr>
        <w:rFonts w:hint="eastAsia"/>
      </w:rPr>
    </w:lvl>
  </w:abstractNum>
  <w:abstractNum w:abstractNumId="1">
    <w:nsid w:val="51E59F77"/>
    <w:multiLevelType w:val="singleLevel"/>
    <w:tmpl w:val="51E59F7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mMxODNkOWI2ZDZlNmY1NTBjOWQzODQ1YmU2ODIifQ=="/>
  </w:docVars>
  <w:rsids>
    <w:rsidRoot w:val="4B245EE3"/>
    <w:rsid w:val="0F016EE5"/>
    <w:rsid w:val="13442387"/>
    <w:rsid w:val="190817A0"/>
    <w:rsid w:val="1FE874A4"/>
    <w:rsid w:val="4B245EE3"/>
    <w:rsid w:val="7F9B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rPr>
  </w:style>
  <w:style w:type="paragraph" w:styleId="3">
    <w:name w:val="annotation text"/>
    <w:basedOn w:val="1"/>
    <w:unhideWhenUsed/>
    <w:qFormat/>
    <w:uiPriority w:val="0"/>
    <w:pPr>
      <w:jc w:val="left"/>
    </w:pPr>
    <w:rPr>
      <w:rFonts w:ascii="Times New Roman" w:hAnsi="Times New Roman" w:eastAsia="宋体" w:cs="Times New Roman"/>
      <w:szCs w:val="20"/>
    </w:rPr>
  </w:style>
  <w:style w:type="paragraph" w:styleId="4">
    <w:name w:val="Body Text"/>
    <w:basedOn w:val="1"/>
    <w:next w:val="1"/>
    <w:unhideWhenUsed/>
    <w:qFormat/>
    <w:uiPriority w:val="0"/>
    <w:pPr>
      <w:spacing w:after="120"/>
    </w:pPr>
    <w:rPr>
      <w:rFonts w:ascii="Times New Roman" w:hAnsi="Times New Roman" w:eastAsia="宋体" w:cs="Times New Roman"/>
      <w:szCs w:val="20"/>
    </w:rPr>
  </w:style>
  <w:style w:type="paragraph" w:styleId="5">
    <w:name w:val="Body Text Indent"/>
    <w:basedOn w:val="1"/>
    <w:semiHidden/>
    <w:unhideWhenUsed/>
    <w:qFormat/>
    <w:uiPriority w:val="99"/>
    <w:pPr>
      <w:spacing w:after="120"/>
      <w:ind w:left="420" w:leftChars="200"/>
    </w:pPr>
    <w:rPr>
      <w:rFonts w:ascii="Times New Roman" w:hAnsi="Times New Roman" w:eastAsia="宋体" w:cs="Times New Roman"/>
      <w:szCs w:val="20"/>
    </w:rPr>
  </w:style>
  <w:style w:type="paragraph" w:styleId="6">
    <w:name w:val="Body Text First Indent 2"/>
    <w:basedOn w:val="5"/>
    <w:semiHidden/>
    <w:qFormat/>
    <w:uiPriority w:val="0"/>
    <w:pPr>
      <w:spacing w:after="120"/>
      <w:ind w:left="420" w:leftChars="200" w:firstLine="420"/>
    </w:pPr>
    <w:rPr>
      <w:rFonts w:ascii="Times New Roman" w:hAnsi="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ormal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2024-12-18T10:58:00Z</dcterms:created>
  <dc:creator>Good Man</dc:creator>
  <cp:lastModifiedBy>YQ</cp:lastModifiedBy>
  <dcterms:modified xsi:type="dcterms:W3CDTF">2024-12-25T08:34:47Z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635A9A2C0FB145E89D12C390667FAA84</vt:lpwstr>
  </property>
</Properties>
</file>