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p>
    <w:p>
      <w:pPr>
        <w:jc w:val="center"/>
        <w:rPr>
          <w:rFonts w:hint="eastAsia" w:ascii="仿宋" w:hAnsi="仿宋" w:eastAsia="仿宋" w:cs="仿宋"/>
          <w:b/>
          <w:sz w:val="36"/>
          <w:szCs w:val="36"/>
        </w:rPr>
      </w:pPr>
      <w:r>
        <w:rPr>
          <w:rFonts w:hint="eastAsia" w:ascii="仿宋" w:hAnsi="仿宋" w:eastAsia="仿宋" w:cs="仿宋"/>
          <w:b/>
          <w:sz w:val="36"/>
          <w:szCs w:val="36"/>
        </w:rPr>
        <w:t>企业基本情况一览表</w:t>
      </w:r>
    </w:p>
    <w:tbl>
      <w:tblPr>
        <w:tblStyle w:val="10"/>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rPr>
          <w:trHeight w:val="811"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企业名称</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企业曾用名（如有）</w:t>
            </w:r>
          </w:p>
        </w:tc>
        <w:tc>
          <w:tcPr>
            <w:tcW w:w="2014" w:type="dxa"/>
            <w:tcBorders>
              <w:tl2br w:val="nil"/>
              <w:tr2bl w:val="nil"/>
            </w:tcBorders>
            <w:vAlign w:val="center"/>
          </w:tcPr>
          <w:p>
            <w:pPr>
              <w:jc w:val="center"/>
              <w:rPr>
                <w:rFonts w:ascii="仿宋" w:hAnsi="仿宋" w:eastAsia="仿宋" w:cs="仿宋"/>
                <w:sz w:val="24"/>
              </w:rPr>
            </w:pPr>
          </w:p>
        </w:tc>
      </w:tr>
      <w:tr>
        <w:trPr>
          <w:trHeight w:val="804"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统一社会信用代码</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企业性质（民营/国有）</w:t>
            </w:r>
          </w:p>
        </w:tc>
        <w:tc>
          <w:tcPr>
            <w:tcW w:w="2014" w:type="dxa"/>
            <w:tcBorders>
              <w:tl2br w:val="nil"/>
              <w:tr2bl w:val="nil"/>
            </w:tcBorders>
            <w:vAlign w:val="center"/>
          </w:tcPr>
          <w:p>
            <w:pPr>
              <w:jc w:val="center"/>
              <w:rPr>
                <w:rFonts w:ascii="仿宋" w:hAnsi="仿宋" w:eastAsia="仿宋" w:cs="仿宋"/>
                <w:sz w:val="24"/>
              </w:rPr>
            </w:pPr>
          </w:p>
        </w:tc>
      </w:tr>
      <w:tr>
        <w:trPr>
          <w:trHeight w:val="788"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注册资金（万元）</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注册地址</w:t>
            </w:r>
          </w:p>
        </w:tc>
        <w:tc>
          <w:tcPr>
            <w:tcW w:w="2014" w:type="dxa"/>
            <w:tcBorders>
              <w:tl2br w:val="nil"/>
              <w:tr2bl w:val="nil"/>
            </w:tcBorders>
            <w:vAlign w:val="center"/>
          </w:tcPr>
          <w:p>
            <w:pPr>
              <w:jc w:val="center"/>
              <w:rPr>
                <w:rFonts w:ascii="仿宋" w:hAnsi="仿宋" w:eastAsia="仿宋" w:cs="仿宋"/>
                <w:sz w:val="24"/>
              </w:rPr>
            </w:pPr>
          </w:p>
        </w:tc>
      </w:tr>
      <w:tr>
        <w:trPr>
          <w:trHeight w:val="875"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企业法定代表人</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建立日期</w:t>
            </w:r>
          </w:p>
        </w:tc>
        <w:tc>
          <w:tcPr>
            <w:tcW w:w="2014" w:type="dxa"/>
            <w:tcBorders>
              <w:tl2br w:val="nil"/>
              <w:tr2bl w:val="nil"/>
            </w:tcBorders>
            <w:vAlign w:val="center"/>
          </w:tcPr>
          <w:p>
            <w:pPr>
              <w:jc w:val="center"/>
              <w:rPr>
                <w:rFonts w:ascii="仿宋" w:hAnsi="仿宋" w:eastAsia="仿宋" w:cs="仿宋"/>
                <w:sz w:val="24"/>
              </w:rPr>
            </w:pPr>
          </w:p>
        </w:tc>
      </w:tr>
      <w:tr>
        <w:trPr>
          <w:trHeight w:val="868"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企业现有资质类别</w:t>
            </w:r>
          </w:p>
          <w:p>
            <w:pPr>
              <w:jc w:val="center"/>
              <w:rPr>
                <w:rFonts w:ascii="仿宋" w:hAnsi="仿宋" w:eastAsia="仿宋" w:cs="仿宋"/>
                <w:sz w:val="24"/>
              </w:rPr>
            </w:pPr>
            <w:r>
              <w:rPr>
                <w:rFonts w:hint="eastAsia" w:ascii="仿宋" w:hAnsi="仿宋" w:eastAsia="仿宋" w:cs="仿宋"/>
                <w:sz w:val="24"/>
              </w:rPr>
              <w:t>及等级</w:t>
            </w:r>
          </w:p>
        </w:tc>
        <w:tc>
          <w:tcPr>
            <w:tcW w:w="6575" w:type="dxa"/>
            <w:gridSpan w:val="3"/>
            <w:tcBorders>
              <w:tl2br w:val="nil"/>
              <w:tr2bl w:val="nil"/>
            </w:tcBorders>
            <w:vAlign w:val="center"/>
          </w:tcPr>
          <w:p>
            <w:pPr>
              <w:jc w:val="center"/>
              <w:rPr>
                <w:rFonts w:ascii="仿宋" w:hAnsi="仿宋" w:eastAsia="仿宋" w:cs="仿宋"/>
                <w:sz w:val="24"/>
              </w:rPr>
            </w:pPr>
          </w:p>
        </w:tc>
      </w:tr>
      <w:tr>
        <w:trPr>
          <w:trHeight w:val="2586"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企业简介</w:t>
            </w:r>
          </w:p>
          <w:p>
            <w:pPr>
              <w:jc w:val="center"/>
              <w:rPr>
                <w:rFonts w:ascii="仿宋" w:hAnsi="仿宋" w:eastAsia="仿宋" w:cs="仿宋"/>
                <w:sz w:val="24"/>
              </w:rPr>
            </w:pPr>
            <w:r>
              <w:rPr>
                <w:rFonts w:hint="eastAsia" w:ascii="仿宋" w:hAnsi="仿宋" w:eastAsia="仿宋" w:cs="仿宋"/>
                <w:sz w:val="24"/>
              </w:rPr>
              <w:t>（内容包括企业规模、人员数量及具有技术职称人员所占的比率等）</w:t>
            </w:r>
          </w:p>
        </w:tc>
        <w:tc>
          <w:tcPr>
            <w:tcW w:w="6575" w:type="dxa"/>
            <w:gridSpan w:val="3"/>
            <w:tcBorders>
              <w:tl2br w:val="nil"/>
              <w:tr2bl w:val="nil"/>
            </w:tcBorders>
            <w:vAlign w:val="center"/>
          </w:tcPr>
          <w:p>
            <w:pPr>
              <w:jc w:val="center"/>
              <w:rPr>
                <w:rFonts w:ascii="仿宋" w:hAnsi="仿宋" w:eastAsia="仿宋" w:cs="仿宋"/>
                <w:sz w:val="24"/>
              </w:rPr>
            </w:pPr>
          </w:p>
        </w:tc>
      </w:tr>
      <w:tr>
        <w:trPr>
          <w:trHeight w:val="962"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拟派项目负责人</w:t>
            </w:r>
          </w:p>
        </w:tc>
        <w:tc>
          <w:tcPr>
            <w:tcW w:w="6575" w:type="dxa"/>
            <w:gridSpan w:val="3"/>
            <w:tcBorders>
              <w:tl2br w:val="nil"/>
              <w:tr2bl w:val="nil"/>
            </w:tcBorders>
            <w:vAlign w:val="center"/>
          </w:tcPr>
          <w:p>
            <w:pPr>
              <w:jc w:val="center"/>
              <w:rPr>
                <w:rFonts w:ascii="仿宋" w:hAnsi="仿宋" w:eastAsia="仿宋" w:cs="仿宋"/>
                <w:sz w:val="24"/>
              </w:rPr>
            </w:pPr>
          </w:p>
        </w:tc>
      </w:tr>
      <w:tr>
        <w:trPr>
          <w:trHeight w:val="922"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投标联系人</w:t>
            </w:r>
          </w:p>
          <w:p>
            <w:pPr>
              <w:jc w:val="center"/>
              <w:rPr>
                <w:rFonts w:ascii="仿宋" w:hAnsi="仿宋" w:eastAsia="仿宋" w:cs="仿宋"/>
                <w:sz w:val="24"/>
              </w:rPr>
            </w:pPr>
            <w:r>
              <w:rPr>
                <w:rFonts w:hint="eastAsia" w:ascii="仿宋" w:hAnsi="仿宋" w:eastAsia="仿宋" w:cs="仿宋"/>
                <w:sz w:val="24"/>
              </w:rPr>
              <w:t>及联系方式</w:t>
            </w:r>
          </w:p>
        </w:tc>
        <w:tc>
          <w:tcPr>
            <w:tcW w:w="6575" w:type="dxa"/>
            <w:gridSpan w:val="3"/>
            <w:tcBorders>
              <w:tl2br w:val="nil"/>
              <w:tr2bl w:val="nil"/>
            </w:tcBorders>
            <w:vAlign w:val="center"/>
          </w:tcPr>
          <w:p>
            <w:pPr>
              <w:jc w:val="center"/>
              <w:rPr>
                <w:rFonts w:ascii="仿宋" w:hAnsi="仿宋" w:eastAsia="仿宋" w:cs="仿宋"/>
                <w:sz w:val="24"/>
              </w:rPr>
            </w:pPr>
          </w:p>
        </w:tc>
      </w:tr>
      <w:tr>
        <w:trPr>
          <w:trHeight w:val="922"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其他</w:t>
            </w:r>
          </w:p>
        </w:tc>
        <w:tc>
          <w:tcPr>
            <w:tcW w:w="6575" w:type="dxa"/>
            <w:gridSpan w:val="3"/>
            <w:tcBorders>
              <w:tl2br w:val="nil"/>
              <w:tr2bl w:val="nil"/>
            </w:tcBorders>
            <w:vAlign w:val="center"/>
          </w:tcPr>
          <w:p>
            <w:pPr>
              <w:jc w:val="center"/>
              <w:rPr>
                <w:rFonts w:ascii="仿宋" w:hAnsi="仿宋" w:eastAsia="仿宋" w:cs="仿宋"/>
                <w:sz w:val="24"/>
              </w:rPr>
            </w:pPr>
          </w:p>
        </w:tc>
      </w:tr>
    </w:tbl>
    <w:p>
      <w:pPr>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注：相关证书扫描件应后附，如果表中填写的内容与招标人在相关网站查询结果不一致，将视为投标人存在弄虚作假的情形。</w:t>
      </w:r>
    </w:p>
    <w:p>
      <w:pPr>
        <w:adjustRightInd w:val="0"/>
        <w:snapToGrid w:val="0"/>
        <w:spacing w:line="360" w:lineRule="auto"/>
        <w:rPr>
          <w:rFonts w:hint="eastAsia" w:ascii="仿宋" w:hAnsi="仿宋" w:eastAsia="仿宋" w:cs="仿宋"/>
          <w:b/>
          <w:sz w:val="28"/>
          <w:szCs w:val="28"/>
        </w:rPr>
      </w:pPr>
      <w:bookmarkStart w:id="0" w:name="_Toc14347"/>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附件1.2</w:t>
      </w:r>
    </w:p>
    <w:p>
      <w:pPr>
        <w:jc w:val="center"/>
        <w:rPr>
          <w:rFonts w:hint="eastAsia" w:ascii="仿宋" w:hAnsi="仿宋" w:eastAsia="仿宋" w:cs="仿宋"/>
          <w:b/>
          <w:sz w:val="36"/>
          <w:szCs w:val="36"/>
        </w:rPr>
      </w:pPr>
      <w:r>
        <w:rPr>
          <w:rFonts w:hint="eastAsia" w:ascii="仿宋" w:hAnsi="仿宋" w:eastAsia="仿宋" w:cs="仿宋"/>
          <w:b/>
          <w:sz w:val="36"/>
          <w:szCs w:val="36"/>
        </w:rPr>
        <w:t>投标报价函</w:t>
      </w:r>
    </w:p>
    <w:p>
      <w:pPr>
        <w:pStyle w:val="6"/>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w:t>
      </w:r>
    </w:p>
    <w:p>
      <w:pPr>
        <w:widowControl/>
        <w:adjustRightInd w:val="0"/>
        <w:snapToGrid w:val="0"/>
        <w:spacing w:before="156" w:beforeLines="50" w:after="156" w:afterLines="50" w:line="360" w:lineRule="auto"/>
        <w:ind w:firstLine="480" w:firstLineChars="200"/>
        <w:rPr>
          <w:rFonts w:ascii="仿宋" w:hAnsi="仿宋" w:eastAsia="仿宋" w:cs="仿宋"/>
          <w:bCs/>
          <w:sz w:val="24"/>
        </w:rPr>
      </w:pPr>
      <w:r>
        <w:rPr>
          <w:rFonts w:hint="eastAsia" w:ascii="仿宋" w:hAnsi="仿宋" w:eastAsia="仿宋" w:cs="仿宋"/>
          <w:bCs/>
          <w:sz w:val="24"/>
        </w:rPr>
        <w:t>1.经分析研究招标人提供的本次公告内容，本投标人就</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（项目名称） </w:t>
      </w:r>
      <w:r>
        <w:rPr>
          <w:rFonts w:hint="eastAsia" w:ascii="仿宋" w:hAnsi="仿宋" w:eastAsia="仿宋" w:cs="仿宋"/>
          <w:bCs/>
          <w:sz w:val="24"/>
          <w:u w:val="single"/>
        </w:rPr>
        <w:t xml:space="preserve"> </w:t>
      </w:r>
      <w:r>
        <w:rPr>
          <w:rFonts w:hint="eastAsia" w:ascii="仿宋" w:hAnsi="仿宋" w:eastAsia="仿宋" w:cs="仿宋"/>
          <w:bCs/>
          <w:sz w:val="24"/>
        </w:rPr>
        <w:t>的报价见下表所列：</w:t>
      </w:r>
    </w:p>
    <w:tbl>
      <w:tblPr>
        <w:tblStyle w:val="11"/>
        <w:tblW w:w="93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2035"/>
        <w:gridCol w:w="1642"/>
        <w:gridCol w:w="1230"/>
        <w:gridCol w:w="1180"/>
        <w:gridCol w:w="1245"/>
        <w:gridCol w:w="1365"/>
      </w:tblGrid>
      <w:tr>
        <w:trPr>
          <w:trHeight w:val="928"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序号</w:t>
            </w:r>
          </w:p>
        </w:tc>
        <w:tc>
          <w:tcPr>
            <w:tcW w:w="2035" w:type="dxa"/>
            <w:tcBorders>
              <w:tl2br w:val="nil"/>
              <w:tr2bl w:val="nil"/>
            </w:tcBorders>
            <w:vAlign w:val="center"/>
          </w:tcPr>
          <w:p>
            <w:pPr>
              <w:widowControl/>
              <w:spacing w:line="240" w:lineRule="auto"/>
              <w:jc w:val="center"/>
              <w:rPr>
                <w:rFonts w:hint="eastAsia" w:ascii="仿宋" w:hAnsi="仿宋" w:eastAsia="仿宋" w:cs="仿宋"/>
                <w:sz w:val="21"/>
                <w:szCs w:val="21"/>
              </w:rPr>
            </w:pPr>
            <w:r>
              <w:rPr>
                <w:rFonts w:hint="eastAsia" w:ascii="仿宋" w:hAnsi="仿宋" w:eastAsia="仿宋" w:cs="仿宋"/>
                <w:sz w:val="21"/>
                <w:szCs w:val="21"/>
              </w:rPr>
              <w:t>服务内容</w:t>
            </w:r>
          </w:p>
          <w:p>
            <w:pPr>
              <w:widowControl/>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身故赔付</w:t>
            </w:r>
            <w:r>
              <w:rPr>
                <w:rFonts w:hint="eastAsia" w:ascii="仿宋" w:hAnsi="仿宋" w:eastAsia="仿宋" w:cs="仿宋"/>
                <w:sz w:val="21"/>
                <w:szCs w:val="21"/>
                <w:lang w:eastAsia="zh-CN"/>
              </w:rPr>
              <w:t>）</w:t>
            </w:r>
          </w:p>
        </w:tc>
        <w:tc>
          <w:tcPr>
            <w:tcW w:w="1642" w:type="dxa"/>
            <w:tcBorders>
              <w:tl2br w:val="nil"/>
              <w:tr2bl w:val="nil"/>
            </w:tcBorders>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参保人数</w:t>
            </w:r>
          </w:p>
          <w:p>
            <w:pPr>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（不记名投保）</w:t>
            </w:r>
          </w:p>
        </w:tc>
        <w:tc>
          <w:tcPr>
            <w:tcW w:w="1230" w:type="dxa"/>
            <w:tcBorders>
              <w:tl2br w:val="nil"/>
              <w:tr2bl w:val="nil"/>
            </w:tcBorders>
            <w:vAlign w:val="center"/>
          </w:tcPr>
          <w:p>
            <w:pPr>
              <w:widowControl/>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单价最高</w:t>
            </w:r>
          </w:p>
          <w:p>
            <w:pPr>
              <w:widowControl/>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限价（元/人）</w:t>
            </w:r>
          </w:p>
        </w:tc>
        <w:tc>
          <w:tcPr>
            <w:tcW w:w="1180" w:type="dxa"/>
            <w:tcBorders>
              <w:tl2br w:val="nil"/>
              <w:tr2bl w:val="nil"/>
            </w:tcBorders>
            <w:vAlign w:val="center"/>
          </w:tcPr>
          <w:p>
            <w:pPr>
              <w:widowControl/>
              <w:spacing w:line="240" w:lineRule="auto"/>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总价最高限价（元）</w:t>
            </w:r>
          </w:p>
        </w:tc>
        <w:tc>
          <w:tcPr>
            <w:tcW w:w="1245" w:type="dxa"/>
            <w:tcBorders>
              <w:tl2br w:val="nil"/>
              <w:tr2bl w:val="nil"/>
            </w:tcBorders>
            <w:vAlign w:val="center"/>
          </w:tcPr>
          <w:p>
            <w:pPr>
              <w:widowControl/>
              <w:spacing w:line="240" w:lineRule="auto"/>
              <w:jc w:val="center"/>
              <w:rPr>
                <w:rFonts w:ascii="仿宋" w:hAnsi="仿宋" w:eastAsia="仿宋" w:cs="仿宋"/>
                <w:sz w:val="21"/>
                <w:szCs w:val="21"/>
              </w:rPr>
            </w:pPr>
            <w:r>
              <w:rPr>
                <w:rFonts w:hint="eastAsia" w:ascii="仿宋" w:hAnsi="仿宋" w:eastAsia="仿宋" w:cs="仿宋"/>
                <w:sz w:val="21"/>
                <w:szCs w:val="21"/>
              </w:rPr>
              <w:t>单价报价（元</w:t>
            </w:r>
            <w:r>
              <w:rPr>
                <w:rFonts w:hint="eastAsia" w:ascii="仿宋" w:hAnsi="仿宋" w:eastAsia="仿宋" w:cs="仿宋"/>
                <w:sz w:val="21"/>
                <w:szCs w:val="21"/>
                <w:lang w:val="en-US" w:eastAsia="zh-CN"/>
              </w:rPr>
              <w:t>/人</w:t>
            </w:r>
            <w:r>
              <w:rPr>
                <w:rFonts w:hint="eastAsia" w:ascii="仿宋" w:hAnsi="仿宋" w:eastAsia="仿宋" w:cs="仿宋"/>
                <w:sz w:val="21"/>
                <w:szCs w:val="21"/>
              </w:rPr>
              <w:t>）</w:t>
            </w:r>
          </w:p>
        </w:tc>
        <w:tc>
          <w:tcPr>
            <w:tcW w:w="1365" w:type="dxa"/>
            <w:tcBorders>
              <w:tl2br w:val="nil"/>
              <w:tr2bl w:val="nil"/>
            </w:tcBorders>
            <w:vAlign w:val="center"/>
          </w:tcPr>
          <w:p>
            <w:pPr>
              <w:widowControl/>
              <w:spacing w:line="240" w:lineRule="auto"/>
              <w:jc w:val="center"/>
              <w:rPr>
                <w:rFonts w:ascii="仿宋" w:hAnsi="仿宋" w:eastAsia="仿宋" w:cs="仿宋"/>
                <w:sz w:val="21"/>
                <w:szCs w:val="21"/>
              </w:rPr>
            </w:pPr>
            <w:r>
              <w:rPr>
                <w:rFonts w:hint="eastAsia" w:ascii="仿宋" w:hAnsi="仿宋" w:eastAsia="仿宋" w:cs="仿宋"/>
                <w:sz w:val="21"/>
                <w:szCs w:val="21"/>
              </w:rPr>
              <w:t>投标总</w:t>
            </w:r>
            <w:r>
              <w:rPr>
                <w:rFonts w:hint="eastAsia" w:ascii="仿宋" w:hAnsi="仿宋" w:eastAsia="仿宋" w:cs="仿宋"/>
                <w:sz w:val="21"/>
                <w:szCs w:val="21"/>
                <w:lang w:val="en-US" w:eastAsia="zh-CN"/>
              </w:rPr>
              <w:t>价</w:t>
            </w:r>
            <w:r>
              <w:rPr>
                <w:rFonts w:hint="eastAsia" w:ascii="仿宋" w:hAnsi="仿宋" w:eastAsia="仿宋" w:cs="仿宋"/>
                <w:sz w:val="21"/>
                <w:szCs w:val="21"/>
              </w:rPr>
              <w:t>报价（元）</w:t>
            </w:r>
          </w:p>
        </w:tc>
      </w:tr>
      <w:tr>
        <w:trPr>
          <w:trHeight w:val="1219"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2035" w:type="dxa"/>
            <w:tcBorders>
              <w:tl2br w:val="nil"/>
              <w:tr2bl w:val="nil"/>
            </w:tcBorders>
            <w:vAlign w:val="center"/>
          </w:tcPr>
          <w:p>
            <w:pPr>
              <w:widowControl/>
              <w:spacing w:line="360" w:lineRule="auto"/>
              <w:rPr>
                <w:rFonts w:ascii="仿宋" w:hAnsi="仿宋" w:eastAsia="仿宋" w:cs="仿宋"/>
                <w:bCs/>
                <w:sz w:val="21"/>
                <w:szCs w:val="21"/>
              </w:rPr>
            </w:pPr>
            <w:r>
              <w:rPr>
                <w:rFonts w:hint="eastAsia" w:ascii="仿宋" w:hAnsi="仿宋" w:eastAsia="仿宋" w:cs="仿宋"/>
                <w:bCs/>
                <w:sz w:val="21"/>
                <w:szCs w:val="21"/>
                <w:lang w:val="en-US" w:eastAsia="zh-CN"/>
              </w:rPr>
              <w:t>雇主</w:t>
            </w:r>
            <w:r>
              <w:rPr>
                <w:rFonts w:hint="eastAsia" w:ascii="仿宋" w:hAnsi="仿宋" w:eastAsia="仿宋" w:cs="仿宋"/>
                <w:bCs/>
                <w:sz w:val="21"/>
                <w:szCs w:val="21"/>
              </w:rPr>
              <w:t>险保额</w:t>
            </w:r>
            <w:r>
              <w:rPr>
                <w:rFonts w:hint="eastAsia" w:ascii="仿宋" w:hAnsi="仿宋" w:eastAsia="仿宋" w:cs="仿宋"/>
                <w:bCs/>
                <w:sz w:val="21"/>
                <w:szCs w:val="21"/>
                <w:lang w:val="en-US" w:eastAsia="zh-CN"/>
              </w:rPr>
              <w:t>30</w:t>
            </w:r>
            <w:r>
              <w:rPr>
                <w:rFonts w:hint="eastAsia" w:ascii="仿宋" w:hAnsi="仿宋" w:eastAsia="仿宋" w:cs="仿宋"/>
                <w:bCs/>
                <w:sz w:val="21"/>
                <w:szCs w:val="21"/>
              </w:rPr>
              <w:t>万</w:t>
            </w:r>
          </w:p>
        </w:tc>
        <w:tc>
          <w:tcPr>
            <w:tcW w:w="1642" w:type="dxa"/>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5000</w:t>
            </w:r>
          </w:p>
        </w:tc>
        <w:tc>
          <w:tcPr>
            <w:tcW w:w="1230" w:type="dxa"/>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197</w:t>
            </w:r>
          </w:p>
        </w:tc>
        <w:tc>
          <w:tcPr>
            <w:tcW w:w="1180" w:type="dxa"/>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985000</w:t>
            </w:r>
          </w:p>
        </w:tc>
        <w:tc>
          <w:tcPr>
            <w:tcW w:w="1245" w:type="dxa"/>
            <w:tcBorders>
              <w:tl2br w:val="nil"/>
              <w:tr2bl w:val="nil"/>
            </w:tcBorders>
            <w:vAlign w:val="center"/>
          </w:tcPr>
          <w:p>
            <w:pPr>
              <w:widowControl/>
              <w:spacing w:line="360" w:lineRule="auto"/>
              <w:jc w:val="center"/>
              <w:rPr>
                <w:rFonts w:ascii="仿宋" w:hAnsi="仿宋" w:eastAsia="仿宋" w:cs="仿宋"/>
                <w:bCs/>
                <w:sz w:val="21"/>
                <w:szCs w:val="21"/>
              </w:rPr>
            </w:pPr>
          </w:p>
        </w:tc>
        <w:tc>
          <w:tcPr>
            <w:tcW w:w="1365" w:type="dxa"/>
            <w:tcBorders>
              <w:tl2br w:val="nil"/>
              <w:tr2bl w:val="nil"/>
            </w:tcBorders>
            <w:vAlign w:val="center"/>
          </w:tcPr>
          <w:p>
            <w:pPr>
              <w:widowControl/>
              <w:spacing w:line="360" w:lineRule="auto"/>
              <w:jc w:val="center"/>
              <w:rPr>
                <w:rFonts w:ascii="仿宋" w:hAnsi="仿宋" w:eastAsia="仿宋" w:cs="仿宋"/>
                <w:sz w:val="21"/>
                <w:szCs w:val="21"/>
              </w:rPr>
            </w:pPr>
          </w:p>
        </w:tc>
      </w:tr>
      <w:tr>
        <w:trPr>
          <w:trHeight w:val="923" w:hRule="atLeast"/>
          <w:jc w:val="center"/>
        </w:trPr>
        <w:tc>
          <w:tcPr>
            <w:tcW w:w="9376" w:type="dxa"/>
            <w:gridSpan w:val="7"/>
            <w:tcBorders>
              <w:tl2br w:val="nil"/>
              <w:tr2bl w:val="nil"/>
            </w:tcBorders>
            <w:vAlign w:val="center"/>
          </w:tcPr>
          <w:p>
            <w:pPr>
              <w:widowControl/>
              <w:spacing w:line="360" w:lineRule="auto"/>
              <w:jc w:val="both"/>
              <w:rPr>
                <w:rFonts w:ascii="仿宋" w:hAnsi="仿宋" w:eastAsia="仿宋" w:cs="仿宋"/>
                <w:sz w:val="21"/>
                <w:szCs w:val="21"/>
              </w:rPr>
            </w:pPr>
            <w:r>
              <w:rPr>
                <w:rFonts w:hint="eastAsia" w:ascii="仿宋" w:hAnsi="仿宋" w:eastAsia="仿宋" w:cs="仿宋"/>
                <w:sz w:val="21"/>
                <w:szCs w:val="21"/>
              </w:rPr>
              <w:t>合计投标总报价金额（大写）：</w:t>
            </w:r>
          </w:p>
        </w:tc>
      </w:tr>
    </w:tbl>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2.以上所报价格价为含税价。</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3.以上报价为本投标人在公告要求期限内完成约定的全部工作的总费用。</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4.如招标人接受本投标人的投标，本投标人将保证遵循国家和省、市相关法律、法规的要求和公告要求完成相关工作。</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5.在正式的合同协议制定和签署前，本报价连同招标人的中标通知书应为约束贵司、我双方的合同文件。</w:t>
      </w:r>
    </w:p>
    <w:p>
      <w:pPr>
        <w:adjustRightInd w:val="0"/>
        <w:snapToGrid w:val="0"/>
        <w:spacing w:line="360" w:lineRule="auto"/>
        <w:ind w:firstLine="2520" w:firstLineChars="1050"/>
        <w:rPr>
          <w:rFonts w:ascii="仿宋" w:hAnsi="仿宋" w:eastAsia="仿宋" w:cs="仿宋"/>
          <w:bCs/>
          <w:sz w:val="24"/>
        </w:rPr>
      </w:pPr>
    </w:p>
    <w:p>
      <w:pPr>
        <w:adjustRightInd w:val="0"/>
        <w:snapToGrid w:val="0"/>
        <w:spacing w:line="360" w:lineRule="auto"/>
        <w:ind w:firstLine="2520" w:firstLineChars="1050"/>
        <w:rPr>
          <w:rFonts w:ascii="仿宋" w:hAnsi="仿宋" w:eastAsia="仿宋" w:cs="仿宋"/>
          <w:bCs/>
          <w:sz w:val="24"/>
        </w:rPr>
      </w:pPr>
    </w:p>
    <w:p>
      <w:pPr>
        <w:adjustRightInd w:val="0"/>
        <w:snapToGrid w:val="0"/>
        <w:spacing w:line="360" w:lineRule="auto"/>
        <w:ind w:firstLine="2520" w:firstLineChars="1050"/>
        <w:rPr>
          <w:rFonts w:ascii="仿宋" w:hAnsi="仿宋" w:eastAsia="仿宋" w:cs="仿宋"/>
          <w:bCs/>
          <w:sz w:val="24"/>
        </w:rPr>
      </w:pPr>
      <w:r>
        <w:rPr>
          <w:rFonts w:hint="eastAsia" w:ascii="仿宋" w:hAnsi="仿宋" w:eastAsia="仿宋" w:cs="仿宋"/>
          <w:bCs/>
          <w:sz w:val="24"/>
        </w:rPr>
        <w:t xml:space="preserve">投标人（公章）： </w:t>
      </w:r>
    </w:p>
    <w:p>
      <w:pPr>
        <w:adjustRightInd w:val="0"/>
        <w:snapToGrid w:val="0"/>
        <w:spacing w:line="360" w:lineRule="auto"/>
        <w:ind w:firstLine="2520" w:firstLineChars="1050"/>
        <w:rPr>
          <w:rFonts w:ascii="仿宋" w:hAnsi="仿宋" w:eastAsia="仿宋" w:cs="仿宋"/>
          <w:bCs/>
          <w:sz w:val="24"/>
        </w:rPr>
      </w:pPr>
      <w:r>
        <w:rPr>
          <w:rFonts w:hint="eastAsia" w:ascii="仿宋" w:hAnsi="仿宋" w:eastAsia="仿宋" w:cs="仿宋"/>
          <w:bCs/>
          <w:sz w:val="24"/>
        </w:rPr>
        <w:t>法人代表人或其授权委托代理人（签章）：</w:t>
      </w:r>
    </w:p>
    <w:p>
      <w:pPr>
        <w:adjustRightInd w:val="0"/>
        <w:snapToGrid w:val="0"/>
        <w:spacing w:before="156" w:beforeLines="50" w:after="160" w:line="360" w:lineRule="auto"/>
        <w:ind w:firstLine="2640" w:firstLineChars="1100"/>
        <w:rPr>
          <w:rFonts w:ascii="仿宋_GB2312" w:hAnsi="仿宋_GB2312" w:eastAsia="仿宋_GB2312" w:cs="仿宋_GB2312"/>
        </w:rPr>
      </w:pPr>
      <w:r>
        <w:rPr>
          <w:rFonts w:hint="eastAsia" w:ascii="仿宋" w:hAnsi="仿宋" w:eastAsia="仿宋" w:cs="仿宋"/>
          <w:bCs/>
          <w:sz w:val="24"/>
        </w:rPr>
        <w:t>日期：    年    月    日</w:t>
      </w:r>
      <w:bookmarkEnd w:id="0"/>
      <w:r>
        <w:rPr>
          <w:rFonts w:hint="eastAsia" w:ascii="仿宋_GB2312" w:hAnsi="仿宋_GB2312" w:eastAsia="仿宋_GB2312" w:cs="仿宋_GB2312"/>
          <w:sz w:val="32"/>
          <w:szCs w:val="32"/>
        </w:rPr>
        <w:t xml:space="preserve">   </w:t>
      </w:r>
    </w:p>
    <w:p>
      <w:pPr>
        <w:rPr>
          <w:rFonts w:hint="eastAsia" w:ascii="仿宋" w:hAnsi="仿宋" w:eastAsia="仿宋" w:cs="仿宋"/>
          <w:b/>
          <w:sz w:val="28"/>
          <w:szCs w:val="28"/>
        </w:rPr>
      </w:pPr>
    </w:p>
    <w:p>
      <w:pPr>
        <w:pStyle w:val="3"/>
        <w:rPr>
          <w:rFonts w:hint="eastAsia"/>
        </w:rPr>
      </w:pPr>
    </w:p>
    <w:p>
      <w:pPr>
        <w:rPr>
          <w:rFonts w:ascii="仿宋" w:hAnsi="仿宋" w:eastAsia="仿宋" w:cs="仿宋"/>
          <w:bCs/>
          <w:sz w:val="28"/>
          <w:szCs w:val="28"/>
        </w:rPr>
      </w:pPr>
      <w:r>
        <w:rPr>
          <w:rFonts w:hint="eastAsia" w:ascii="仿宋" w:hAnsi="仿宋" w:eastAsia="仿宋" w:cs="仿宋"/>
          <w:b/>
          <w:sz w:val="28"/>
          <w:szCs w:val="28"/>
        </w:rPr>
        <w:t>附件1.3</w:t>
      </w:r>
    </w:p>
    <w:p>
      <w:pPr>
        <w:jc w:val="center"/>
        <w:rPr>
          <w:rFonts w:hint="eastAsia" w:ascii="仿宋" w:hAnsi="仿宋" w:eastAsia="仿宋" w:cs="仿宋"/>
          <w:b/>
          <w:sz w:val="36"/>
          <w:szCs w:val="36"/>
        </w:rPr>
      </w:pPr>
      <w:r>
        <w:rPr>
          <w:rFonts w:hint="eastAsia" w:ascii="仿宋" w:hAnsi="仿宋" w:eastAsia="仿宋" w:cs="仿宋"/>
          <w:b/>
          <w:sz w:val="36"/>
          <w:szCs w:val="36"/>
        </w:rPr>
        <w:t>投标承诺函</w:t>
      </w:r>
    </w:p>
    <w:p>
      <w:pPr>
        <w:pStyle w:val="6"/>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 xml:space="preserve">为了确保本项目工作顺利进行，我方将严格执行招标投标管理的法律法规，并完全接受 </w:t>
      </w:r>
      <w:r>
        <w:rPr>
          <w:rFonts w:hint="eastAsia" w:ascii="仿宋" w:hAnsi="仿宋" w:eastAsia="仿宋" w:cs="仿宋"/>
          <w:sz w:val="24"/>
          <w:u w:val="single"/>
        </w:rPr>
        <w:t xml:space="preserve">  （项目名称）  </w:t>
      </w:r>
      <w:r>
        <w:rPr>
          <w:rFonts w:hint="eastAsia" w:ascii="仿宋" w:hAnsi="仿宋" w:eastAsia="仿宋" w:cs="仿宋"/>
          <w:bCs/>
          <w:sz w:val="24"/>
        </w:rPr>
        <w:t>公告的所有内容及要求，为此作出如下承诺：</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w:t>
      </w:r>
      <w:r>
        <w:rPr>
          <w:rFonts w:hint="eastAsia" w:ascii="仿宋" w:hAnsi="仿宋" w:eastAsia="仿宋" w:cs="仿宋"/>
          <w:bCs/>
          <w:sz w:val="24"/>
          <w:szCs w:val="24"/>
          <w:lang w:val="en-US" w:eastAsia="zh-CN"/>
        </w:rPr>
        <w:t>服务人员</w:t>
      </w:r>
      <w:r>
        <w:rPr>
          <w:rFonts w:hint="eastAsia" w:ascii="仿宋" w:hAnsi="仿宋" w:eastAsia="仿宋" w:cs="仿宋"/>
          <w:bCs/>
          <w:sz w:val="24"/>
          <w:szCs w:val="24"/>
        </w:rPr>
        <w:t>配备义务，不擅自更换投标文件所报的项目配备人员，如不能继续履行职责确需更换的，所更换人员为我单位职工，其从业资格不低于遴选时承诺条件。</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pPr>
        <w:pStyle w:val="6"/>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pPr>
        <w:spacing w:line="600" w:lineRule="exact"/>
        <w:rPr>
          <w:rFonts w:ascii="仿宋" w:hAnsi="仿宋" w:eastAsia="仿宋" w:cs="仿宋"/>
          <w:bCs/>
          <w:sz w:val="24"/>
        </w:rPr>
      </w:pPr>
    </w:p>
    <w:p>
      <w:pPr>
        <w:spacing w:line="600" w:lineRule="exact"/>
        <w:ind w:firstLine="3600" w:firstLineChars="1500"/>
        <w:rPr>
          <w:rFonts w:ascii="仿宋" w:hAnsi="仿宋" w:eastAsia="仿宋" w:cs="仿宋"/>
          <w:bCs/>
          <w:sz w:val="24"/>
        </w:rPr>
      </w:pPr>
      <w:r>
        <w:rPr>
          <w:rFonts w:hint="eastAsia" w:ascii="仿宋" w:hAnsi="仿宋" w:eastAsia="仿宋" w:cs="仿宋"/>
          <w:bCs/>
          <w:sz w:val="24"/>
        </w:rPr>
        <w:t>承诺单位（盖章）：</w:t>
      </w:r>
    </w:p>
    <w:p>
      <w:pPr>
        <w:spacing w:line="600" w:lineRule="exact"/>
        <w:ind w:firstLine="3600" w:firstLineChars="1500"/>
        <w:rPr>
          <w:rFonts w:ascii="仿宋" w:hAnsi="仿宋" w:eastAsia="仿宋" w:cs="仿宋"/>
          <w:bCs/>
          <w:sz w:val="24"/>
        </w:rPr>
      </w:pPr>
      <w:r>
        <w:rPr>
          <w:rFonts w:hint="eastAsia" w:ascii="仿宋" w:hAnsi="仿宋" w:eastAsia="仿宋" w:cs="仿宋"/>
          <w:bCs/>
          <w:sz w:val="24"/>
        </w:rPr>
        <w:t>法定代表人或授权委托人（签字或盖私章）：</w:t>
      </w:r>
    </w:p>
    <w:p>
      <w:pPr>
        <w:spacing w:line="560" w:lineRule="exact"/>
        <w:ind w:right="480" w:firstLine="3600" w:firstLineChars="1500"/>
        <w:rPr>
          <w:rFonts w:ascii="仿宋" w:hAnsi="仿宋" w:eastAsia="仿宋" w:cs="仿宋"/>
          <w:bCs/>
          <w:sz w:val="24"/>
        </w:rPr>
      </w:pPr>
      <w:r>
        <w:rPr>
          <w:rFonts w:hint="eastAsia" w:ascii="仿宋" w:hAnsi="仿宋" w:eastAsia="仿宋" w:cs="仿宋"/>
          <w:bCs/>
          <w:sz w:val="24"/>
        </w:rPr>
        <w:t>签署日期：    年    月    日</w:t>
      </w:r>
    </w:p>
    <w:p>
      <w:pPr>
        <w:rPr>
          <w:rFonts w:ascii="仿宋" w:hAnsi="仿宋" w:eastAsia="仿宋" w:cs="仿宋"/>
          <w:bCs/>
          <w:sz w:val="24"/>
        </w:rPr>
      </w:pPr>
      <w:r>
        <w:rPr>
          <w:rFonts w:hint="eastAsia" w:ascii="仿宋" w:hAnsi="仿宋" w:eastAsia="仿宋" w:cs="仿宋"/>
          <w:bCs/>
          <w:sz w:val="24"/>
        </w:rPr>
        <w:br w:type="page"/>
      </w:r>
    </w:p>
    <w:p>
      <w:pPr>
        <w:rPr>
          <w:rFonts w:ascii="仿宋" w:hAnsi="仿宋" w:eastAsia="仿宋" w:cs="仿宋"/>
          <w:b/>
          <w:sz w:val="28"/>
          <w:szCs w:val="28"/>
        </w:rPr>
      </w:pPr>
      <w:r>
        <w:rPr>
          <w:rFonts w:hint="eastAsia" w:ascii="仿宋" w:hAnsi="仿宋" w:eastAsia="仿宋" w:cs="仿宋"/>
          <w:b/>
          <w:sz w:val="28"/>
          <w:szCs w:val="28"/>
        </w:rPr>
        <w:t>附件1.4：</w:t>
      </w:r>
    </w:p>
    <w:p>
      <w:pPr>
        <w:jc w:val="center"/>
        <w:rPr>
          <w:rFonts w:hint="eastAsia" w:ascii="仿宋" w:hAnsi="仿宋" w:eastAsia="仿宋" w:cs="仿宋"/>
          <w:b/>
          <w:sz w:val="36"/>
          <w:szCs w:val="36"/>
        </w:rPr>
      </w:pPr>
      <w:r>
        <w:rPr>
          <w:rFonts w:hint="eastAsia" w:ascii="仿宋" w:hAnsi="仿宋" w:eastAsia="仿宋" w:cs="仿宋"/>
          <w:b/>
          <w:sz w:val="36"/>
          <w:szCs w:val="36"/>
        </w:rPr>
        <w:t>项目负责人情况一览表</w:t>
      </w:r>
    </w:p>
    <w:tbl>
      <w:tblPr>
        <w:tblStyle w:val="10"/>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项目负责人姓名</w:t>
            </w:r>
          </w:p>
        </w:tc>
        <w:tc>
          <w:tcPr>
            <w:tcW w:w="2445" w:type="dxa"/>
            <w:tcBorders>
              <w:tl2br w:val="nil"/>
              <w:tr2bl w:val="nil"/>
            </w:tcBorders>
            <w:vAlign w:val="center"/>
          </w:tcPr>
          <w:p>
            <w:pPr>
              <w:snapToGrid w:val="0"/>
              <w:jc w:val="center"/>
              <w:rPr>
                <w:rFonts w:ascii="仿宋" w:hAnsi="仿宋" w:eastAsia="仿宋" w:cs="仿宋"/>
                <w:sz w:val="24"/>
              </w:rPr>
            </w:pPr>
          </w:p>
        </w:tc>
        <w:tc>
          <w:tcPr>
            <w:tcW w:w="2143"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性别</w:t>
            </w:r>
          </w:p>
        </w:tc>
        <w:tc>
          <w:tcPr>
            <w:tcW w:w="2024" w:type="dxa"/>
            <w:tcBorders>
              <w:tl2br w:val="nil"/>
              <w:tr2bl w:val="nil"/>
            </w:tcBorders>
            <w:vAlign w:val="center"/>
          </w:tcPr>
          <w:p>
            <w:pPr>
              <w:snapToGrid w:val="0"/>
              <w:jc w:val="center"/>
              <w:rPr>
                <w:rFonts w:ascii="仿宋" w:hAnsi="仿宋" w:eastAsia="仿宋" w:cs="仿宋"/>
                <w:sz w:val="24"/>
              </w:rPr>
            </w:pPr>
          </w:p>
        </w:tc>
      </w:tr>
      <w:tr>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民族</w:t>
            </w:r>
          </w:p>
        </w:tc>
        <w:tc>
          <w:tcPr>
            <w:tcW w:w="2445" w:type="dxa"/>
            <w:tcBorders>
              <w:tl2br w:val="nil"/>
              <w:tr2bl w:val="nil"/>
            </w:tcBorders>
            <w:vAlign w:val="center"/>
          </w:tcPr>
          <w:p>
            <w:pPr>
              <w:snapToGrid w:val="0"/>
              <w:jc w:val="center"/>
              <w:rPr>
                <w:rFonts w:ascii="仿宋" w:hAnsi="仿宋" w:eastAsia="仿宋" w:cs="仿宋"/>
                <w:sz w:val="24"/>
              </w:rPr>
            </w:pPr>
          </w:p>
        </w:tc>
        <w:tc>
          <w:tcPr>
            <w:tcW w:w="2143"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出生年月</w:t>
            </w:r>
          </w:p>
        </w:tc>
        <w:tc>
          <w:tcPr>
            <w:tcW w:w="2024" w:type="dxa"/>
            <w:tcBorders>
              <w:tl2br w:val="nil"/>
              <w:tr2bl w:val="nil"/>
            </w:tcBorders>
            <w:vAlign w:val="center"/>
          </w:tcPr>
          <w:p>
            <w:pPr>
              <w:snapToGrid w:val="0"/>
              <w:jc w:val="center"/>
              <w:rPr>
                <w:rFonts w:ascii="仿宋" w:hAnsi="仿宋" w:eastAsia="仿宋" w:cs="仿宋"/>
                <w:sz w:val="24"/>
              </w:rPr>
            </w:pPr>
          </w:p>
        </w:tc>
      </w:tr>
      <w:tr>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学历</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毕业院校</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rPr>
          <w:trHeight w:val="868"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相关执业资格</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rPr>
          <w:trHeight w:val="868"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相关职称</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rPr>
          <w:trHeight w:val="962" w:hRule="atLeast"/>
          <w:tblCellSpacing w:w="0" w:type="dxa"/>
          <w:jc w:val="center"/>
        </w:trPr>
        <w:tc>
          <w:tcPr>
            <w:tcW w:w="2296" w:type="dxa"/>
            <w:tcBorders>
              <w:tl2br w:val="nil"/>
              <w:tr2bl w:val="nil"/>
            </w:tcBorders>
            <w:vAlign w:val="center"/>
          </w:tcPr>
          <w:p>
            <w:pPr>
              <w:ind w:left="57" w:right="57" w:firstLine="57"/>
              <w:jc w:val="center"/>
              <w:rPr>
                <w:rFonts w:ascii="仿宋" w:hAnsi="仿宋" w:eastAsia="仿宋" w:cs="仿宋"/>
                <w:sz w:val="24"/>
              </w:rPr>
            </w:pPr>
            <w:r>
              <w:rPr>
                <w:rFonts w:hint="eastAsia" w:ascii="仿宋" w:hAnsi="仿宋" w:eastAsia="仿宋" w:cs="仿宋"/>
                <w:sz w:val="24"/>
              </w:rPr>
              <w:t>联系方式</w:t>
            </w:r>
          </w:p>
        </w:tc>
        <w:tc>
          <w:tcPr>
            <w:tcW w:w="6612" w:type="dxa"/>
            <w:gridSpan w:val="3"/>
            <w:tcBorders>
              <w:tl2br w:val="nil"/>
              <w:tr2bl w:val="nil"/>
            </w:tcBorders>
            <w:vAlign w:val="center"/>
          </w:tcPr>
          <w:p>
            <w:pPr>
              <w:snapToGrid w:val="0"/>
              <w:jc w:val="center"/>
              <w:rPr>
                <w:rFonts w:ascii="仿宋" w:hAnsi="仿宋" w:eastAsia="仿宋" w:cs="仿宋"/>
                <w:sz w:val="24"/>
              </w:rPr>
            </w:pPr>
          </w:p>
        </w:tc>
      </w:tr>
    </w:tbl>
    <w:p>
      <w:pPr>
        <w:adjustRightInd w:val="0"/>
        <w:snapToGrid w:val="0"/>
        <w:spacing w:before="156" w:beforeLines="50" w:after="160" w:line="360" w:lineRule="auto"/>
        <w:ind w:firstLine="480" w:firstLineChars="200"/>
        <w:rPr>
          <w:rFonts w:ascii="仿宋" w:hAnsi="仿宋" w:eastAsia="仿宋" w:cs="仿宋"/>
          <w:sz w:val="24"/>
        </w:rPr>
      </w:pPr>
      <w:r>
        <w:rPr>
          <w:rFonts w:hint="eastAsia" w:ascii="仿宋" w:hAnsi="仿宋" w:eastAsia="仿宋" w:cs="仿宋"/>
          <w:sz w:val="24"/>
        </w:rPr>
        <w:t>注：拟派项目负责人应附资格证书、职称证书、学历证书等扫描件，及在本单位至投标截止日期前3个月的社保证明文件。</w:t>
      </w:r>
    </w:p>
    <w:p>
      <w:pPr>
        <w:adjustRightInd w:val="0"/>
        <w:snapToGrid w:val="0"/>
        <w:spacing w:after="200" w:line="360" w:lineRule="auto"/>
        <w:outlineLvl w:val="2"/>
        <w:rPr>
          <w:rFonts w:ascii="仿宋" w:hAnsi="仿宋" w:eastAsia="仿宋" w:cs="仿宋"/>
          <w:b/>
          <w:bCs/>
          <w:sz w:val="24"/>
        </w:rPr>
      </w:pPr>
    </w:p>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Cs/>
          <w:sz w:val="24"/>
        </w:rPr>
        <w:br w:type="page"/>
      </w:r>
    </w:p>
    <w:p>
      <w:pPr>
        <w:pStyle w:val="8"/>
        <w:jc w:val="both"/>
        <w:outlineLvl w:val="1"/>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附件2：</w:t>
      </w:r>
    </w:p>
    <w:p>
      <w:pPr>
        <w:jc w:val="center"/>
        <w:rPr>
          <w:rFonts w:hint="eastAsia" w:ascii="仿宋" w:hAnsi="仿宋" w:eastAsia="仿宋" w:cs="仿宋"/>
          <w:b/>
          <w:sz w:val="36"/>
          <w:szCs w:val="36"/>
        </w:rPr>
      </w:pPr>
      <w:r>
        <w:rPr>
          <w:rFonts w:hint="eastAsia" w:ascii="仿宋" w:hAnsi="仿宋" w:eastAsia="仿宋" w:cs="仿宋"/>
          <w:b/>
          <w:sz w:val="36"/>
          <w:szCs w:val="36"/>
          <w:lang w:val="en-US" w:eastAsia="zh-CN"/>
        </w:rPr>
        <w:t>项目</w:t>
      </w:r>
      <w:r>
        <w:rPr>
          <w:rFonts w:hint="eastAsia" w:ascii="仿宋" w:hAnsi="仿宋" w:eastAsia="仿宋" w:cs="仿宋"/>
          <w:b/>
          <w:sz w:val="36"/>
          <w:szCs w:val="36"/>
        </w:rPr>
        <w:t>需求书</w:t>
      </w:r>
    </w:p>
    <w:p>
      <w:pPr>
        <w:wordWrap w:val="0"/>
        <w:spacing w:line="300" w:lineRule="atLeast"/>
        <w:textAlignment w:val="baseline"/>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一、项目概况</w:t>
      </w:r>
    </w:p>
    <w:p>
      <w:pPr>
        <w:wordWrap w:val="0"/>
        <w:spacing w:line="200" w:lineRule="exact"/>
        <w:textAlignment w:val="baseline"/>
        <w:rPr>
          <w:rFonts w:hint="eastAsia" w:ascii="仿宋" w:hAnsi="仿宋" w:eastAsia="仿宋" w:cs="仿宋"/>
          <w:color w:val="000000" w:themeColor="text1"/>
          <w:sz w:val="24"/>
          <w:szCs w:val="24"/>
          <w14:textFill>
            <w14:solidFill>
              <w14:schemeClr w14:val="tx1"/>
            </w14:solidFill>
          </w14:textFill>
        </w:rPr>
      </w:pPr>
    </w:p>
    <w:p>
      <w:pPr>
        <w:numPr>
          <w:ilvl w:val="0"/>
          <w:numId w:val="0"/>
        </w:numPr>
        <w:wordWrap w:val="0"/>
        <w:spacing w:line="300" w:lineRule="atLeas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采购单位：</w:t>
      </w:r>
      <w:r>
        <w:rPr>
          <w:rFonts w:hint="eastAsia" w:ascii="仿宋" w:hAnsi="仿宋" w:eastAsia="仿宋" w:cs="仿宋"/>
          <w:color w:val="000000" w:themeColor="text1"/>
          <w:sz w:val="24"/>
          <w:szCs w:val="24"/>
          <w14:textFill>
            <w14:solidFill>
              <w14:schemeClr w14:val="tx1"/>
            </w14:solidFill>
          </w14:textFill>
        </w:rPr>
        <w:t>深圳市龙华保安服务有限公司</w:t>
      </w:r>
    </w:p>
    <w:p>
      <w:pPr>
        <w:wordWrap w:val="0"/>
        <w:spacing w:line="300" w:lineRule="atLeast"/>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2、项目名称：</w:t>
      </w:r>
      <w:r>
        <w:rPr>
          <w:rFonts w:hint="eastAsia" w:ascii="仿宋" w:hAnsi="仿宋" w:eastAsia="仿宋" w:cs="仿宋"/>
          <w:color w:val="000000" w:themeColor="text1"/>
          <w:sz w:val="22"/>
          <w:szCs w:val="22"/>
          <w14:textFill>
            <w14:solidFill>
              <w14:schemeClr w14:val="tx1"/>
            </w14:solidFill>
          </w14:textFill>
        </w:rPr>
        <w:t>深圳市龙华保安服务有限公司员工</w:t>
      </w:r>
      <w:r>
        <w:rPr>
          <w:rFonts w:hint="eastAsia" w:ascii="仿宋" w:hAnsi="仿宋" w:eastAsia="仿宋" w:cs="仿宋"/>
          <w:color w:val="000000" w:themeColor="text1"/>
          <w:sz w:val="22"/>
          <w:szCs w:val="22"/>
          <w:lang w:val="en-US" w:eastAsia="zh-CN"/>
          <w14:textFill>
            <w14:solidFill>
              <w14:schemeClr w14:val="tx1"/>
            </w14:solidFill>
          </w14:textFill>
        </w:rPr>
        <w:t>雇主责任保险</w:t>
      </w:r>
      <w:r>
        <w:rPr>
          <w:rFonts w:hint="eastAsia" w:ascii="仿宋" w:hAnsi="仿宋" w:eastAsia="仿宋" w:cs="仿宋"/>
          <w:color w:val="000000" w:themeColor="text1"/>
          <w:sz w:val="22"/>
          <w:szCs w:val="22"/>
          <w14:textFill>
            <w14:solidFill>
              <w14:schemeClr w14:val="tx1"/>
            </w14:solidFill>
          </w14:textFill>
        </w:rPr>
        <w:t>招标项目</w:t>
      </w:r>
    </w:p>
    <w:p>
      <w:pPr>
        <w:wordWrap w:val="0"/>
        <w:spacing w:line="300" w:lineRule="atLeast"/>
        <w:textAlignment w:val="baseline"/>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二、项目背景</w:t>
      </w:r>
    </w:p>
    <w:p>
      <w:pPr>
        <w:pStyle w:val="9"/>
        <w:numPr>
          <w:ilvl w:val="0"/>
          <w:numId w:val="0"/>
        </w:numPr>
        <w:ind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现通过公开招标确定一家保险公司为中标人，为深圳市龙华保安服务有限公司的现有员工提供雇主责任保险服务。</w:t>
      </w:r>
    </w:p>
    <w:p>
      <w:pPr>
        <w:wordWrap w:val="0"/>
        <w:spacing w:line="300" w:lineRule="atLeast"/>
        <w:textAlignment w:val="baseline"/>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三、</w:t>
      </w:r>
      <w:r>
        <w:rPr>
          <w:rFonts w:hint="eastAsia" w:ascii="黑体" w:hAnsi="黑体" w:eastAsia="黑体" w:cs="黑体"/>
          <w:b w:val="0"/>
          <w:bCs w:val="0"/>
          <w:color w:val="000000" w:themeColor="text1"/>
          <w:sz w:val="24"/>
          <w:szCs w:val="24"/>
          <w14:textFill>
            <w14:solidFill>
              <w14:schemeClr w14:val="tx1"/>
            </w14:solidFill>
          </w14:textFill>
        </w:rPr>
        <w:t>项目清单：</w:t>
      </w:r>
    </w:p>
    <w:tbl>
      <w:tblPr>
        <w:tblStyle w:val="10"/>
        <w:tblW w:w="92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6"/>
        <w:gridCol w:w="2343"/>
        <w:gridCol w:w="638"/>
        <w:gridCol w:w="756"/>
        <w:gridCol w:w="1881"/>
        <w:gridCol w:w="1591"/>
        <w:gridCol w:w="1331"/>
      </w:tblGrid>
      <w:tr>
        <w:trPr>
          <w:trHeight w:val="996" w:hRule="atLeast"/>
        </w:trPr>
        <w:tc>
          <w:tcPr>
            <w:tcW w:w="696" w:type="dxa"/>
            <w:vAlign w:val="center"/>
          </w:tcPr>
          <w:p>
            <w:pPr>
              <w:wordWrap w:val="0"/>
              <w:spacing w:line="280" w:lineRule="atLeast"/>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2343" w:type="dxa"/>
            <w:vAlign w:val="center"/>
          </w:tcPr>
          <w:p>
            <w:pPr>
              <w:wordWrap w:val="0"/>
              <w:spacing w:line="280" w:lineRule="atLeast"/>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服务名称</w:t>
            </w:r>
          </w:p>
        </w:tc>
        <w:tc>
          <w:tcPr>
            <w:tcW w:w="638" w:type="dxa"/>
            <w:vAlign w:val="center"/>
          </w:tcPr>
          <w:p>
            <w:pPr>
              <w:wordWrap w:val="0"/>
              <w:spacing w:line="280" w:lineRule="atLeast"/>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数量</w:t>
            </w:r>
          </w:p>
        </w:tc>
        <w:tc>
          <w:tcPr>
            <w:tcW w:w="756" w:type="dxa"/>
            <w:vAlign w:val="center"/>
          </w:tcPr>
          <w:p>
            <w:pPr>
              <w:wordWrap w:val="0"/>
              <w:spacing w:line="280" w:lineRule="atLeast"/>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单位</w:t>
            </w:r>
          </w:p>
        </w:tc>
        <w:tc>
          <w:tcPr>
            <w:tcW w:w="1881" w:type="dxa"/>
            <w:vAlign w:val="center"/>
          </w:tcPr>
          <w:p>
            <w:pPr>
              <w:wordWrap w:val="0"/>
              <w:spacing w:line="240" w:lineRule="auto"/>
              <w:jc w:val="center"/>
              <w:textAlignment w:val="baseline"/>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每人身故（含疾病身故）赔偿限额</w:t>
            </w:r>
          </w:p>
        </w:tc>
        <w:tc>
          <w:tcPr>
            <w:tcW w:w="1591" w:type="dxa"/>
            <w:vAlign w:val="center"/>
          </w:tcPr>
          <w:p>
            <w:pPr>
              <w:wordWrap w:val="0"/>
              <w:spacing w:line="240" w:lineRule="auto"/>
              <w:jc w:val="center"/>
              <w:textAlignment w:val="baseline"/>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投保人数</w:t>
            </w:r>
          </w:p>
          <w:p>
            <w:pPr>
              <w:wordWrap w:val="0"/>
              <w:spacing w:line="240" w:lineRule="auto"/>
              <w:jc w:val="center"/>
              <w:textAlignment w:val="baseline"/>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（不记名投保）</w:t>
            </w:r>
          </w:p>
        </w:tc>
        <w:tc>
          <w:tcPr>
            <w:tcW w:w="1331" w:type="dxa"/>
            <w:vAlign w:val="center"/>
          </w:tcPr>
          <w:p>
            <w:pPr>
              <w:wordWrap w:val="0"/>
              <w:spacing w:line="240" w:lineRule="auto"/>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采购</w:t>
            </w:r>
            <w:r>
              <w:rPr>
                <w:rFonts w:hint="eastAsia" w:ascii="仿宋" w:hAnsi="仿宋" w:eastAsia="仿宋" w:cs="仿宋"/>
                <w:color w:val="000000" w:themeColor="text1"/>
                <w:sz w:val="22"/>
                <w:szCs w:val="22"/>
                <w14:textFill>
                  <w14:solidFill>
                    <w14:schemeClr w14:val="tx1"/>
                  </w14:solidFill>
                </w14:textFill>
              </w:rPr>
              <w:t>限额</w:t>
            </w:r>
          </w:p>
          <w:p>
            <w:pPr>
              <w:wordWrap w:val="0"/>
              <w:spacing w:line="240" w:lineRule="auto"/>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(万元</w:t>
            </w:r>
            <w:r>
              <w:rPr>
                <w:rFonts w:hint="eastAsia" w:ascii="仿宋" w:hAnsi="仿宋" w:eastAsia="仿宋" w:cs="仿宋"/>
                <w:color w:val="000000" w:themeColor="text1"/>
                <w:sz w:val="22"/>
                <w:szCs w:val="22"/>
                <w:lang w:val="en-US" w:eastAsia="zh-CN"/>
                <w14:textFill>
                  <w14:solidFill>
                    <w14:schemeClr w14:val="tx1"/>
                  </w14:solidFill>
                </w14:textFill>
              </w:rPr>
              <w:t>/年</w:t>
            </w:r>
            <w:r>
              <w:rPr>
                <w:rFonts w:hint="eastAsia" w:ascii="仿宋" w:hAnsi="仿宋" w:eastAsia="仿宋" w:cs="仿宋"/>
                <w:color w:val="000000" w:themeColor="text1"/>
                <w:sz w:val="22"/>
                <w:szCs w:val="22"/>
                <w14:textFill>
                  <w14:solidFill>
                    <w14:schemeClr w14:val="tx1"/>
                  </w14:solidFill>
                </w14:textFill>
              </w:rPr>
              <w:t>)</w:t>
            </w:r>
          </w:p>
        </w:tc>
      </w:tr>
      <w:tr>
        <w:trPr>
          <w:trHeight w:val="1358" w:hRule="atLeast"/>
        </w:trPr>
        <w:tc>
          <w:tcPr>
            <w:tcW w:w="696" w:type="dxa"/>
            <w:vAlign w:val="center"/>
          </w:tcPr>
          <w:p>
            <w:pPr>
              <w:wordWrap w:val="0"/>
              <w:spacing w:line="280" w:lineRule="atLeast"/>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2343" w:type="dxa"/>
            <w:vAlign w:val="center"/>
          </w:tcPr>
          <w:p>
            <w:pPr>
              <w:wordWrap w:val="0"/>
              <w:spacing w:line="280" w:lineRule="atLeast"/>
              <w:jc w:val="center"/>
              <w:textAlignment w:val="baseline"/>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深圳市龙华保安服务有限公司员工</w:t>
            </w:r>
            <w:r>
              <w:rPr>
                <w:rFonts w:hint="eastAsia" w:ascii="仿宋" w:hAnsi="仿宋" w:eastAsia="仿宋" w:cs="仿宋"/>
                <w:color w:val="000000" w:themeColor="text1"/>
                <w:sz w:val="22"/>
                <w:szCs w:val="22"/>
                <w:lang w:val="en-US" w:eastAsia="zh-CN"/>
                <w14:textFill>
                  <w14:solidFill>
                    <w14:schemeClr w14:val="tx1"/>
                  </w14:solidFill>
                </w14:textFill>
              </w:rPr>
              <w:t>雇主责任保险</w:t>
            </w:r>
            <w:r>
              <w:rPr>
                <w:rFonts w:hint="eastAsia" w:ascii="仿宋" w:hAnsi="仿宋" w:eastAsia="仿宋" w:cs="仿宋"/>
                <w:color w:val="000000" w:themeColor="text1"/>
                <w:sz w:val="22"/>
                <w:szCs w:val="22"/>
                <w14:textFill>
                  <w14:solidFill>
                    <w14:schemeClr w14:val="tx1"/>
                  </w14:solidFill>
                </w14:textFill>
              </w:rPr>
              <w:t>招标项目</w:t>
            </w:r>
          </w:p>
        </w:tc>
        <w:tc>
          <w:tcPr>
            <w:tcW w:w="638" w:type="dxa"/>
            <w:vAlign w:val="center"/>
          </w:tcPr>
          <w:p>
            <w:pPr>
              <w:wordWrap w:val="0"/>
              <w:spacing w:line="280" w:lineRule="atLeast"/>
              <w:jc w:val="center"/>
              <w:textAlignment w:val="baseline"/>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w:t>
            </w:r>
          </w:p>
        </w:tc>
        <w:tc>
          <w:tcPr>
            <w:tcW w:w="756" w:type="dxa"/>
            <w:vAlign w:val="center"/>
          </w:tcPr>
          <w:p>
            <w:pPr>
              <w:wordWrap w:val="0"/>
              <w:spacing w:line="280" w:lineRule="atLeast"/>
              <w:jc w:val="center"/>
              <w:textAlignment w:val="baseline"/>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w:t>
            </w:r>
          </w:p>
        </w:tc>
        <w:tc>
          <w:tcPr>
            <w:tcW w:w="1881" w:type="dxa"/>
            <w:vAlign w:val="center"/>
          </w:tcPr>
          <w:p>
            <w:pPr>
              <w:wordWrap w:val="0"/>
              <w:spacing w:line="280" w:lineRule="atLeast"/>
              <w:jc w:val="center"/>
              <w:textAlignment w:val="baseline"/>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30万元</w:t>
            </w:r>
          </w:p>
        </w:tc>
        <w:tc>
          <w:tcPr>
            <w:tcW w:w="1591" w:type="dxa"/>
            <w:vAlign w:val="center"/>
          </w:tcPr>
          <w:p>
            <w:pPr>
              <w:wordWrap w:val="0"/>
              <w:spacing w:line="280" w:lineRule="atLeast"/>
              <w:jc w:val="center"/>
              <w:textAlignment w:val="baseline"/>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5000人</w:t>
            </w:r>
          </w:p>
        </w:tc>
        <w:tc>
          <w:tcPr>
            <w:tcW w:w="1331" w:type="dxa"/>
            <w:vAlign w:val="center"/>
          </w:tcPr>
          <w:p>
            <w:pPr>
              <w:wordWrap w:val="0"/>
              <w:spacing w:line="280" w:lineRule="atLeast"/>
              <w:jc w:val="center"/>
              <w:textAlignment w:val="baseline"/>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98.5</w:t>
            </w:r>
            <w:r>
              <w:rPr>
                <w:rFonts w:hint="eastAsia" w:ascii="仿宋" w:hAnsi="仿宋" w:eastAsia="仿宋" w:cs="仿宋"/>
                <w:b/>
                <w:bCs/>
                <w:color w:val="000000" w:themeColor="text1"/>
                <w:sz w:val="22"/>
                <w:szCs w:val="22"/>
                <w14:textFill>
                  <w14:solidFill>
                    <w14:schemeClr w14:val="tx1"/>
                  </w14:solidFill>
                </w14:textFill>
              </w:rPr>
              <w:t>万元</w:t>
            </w:r>
          </w:p>
        </w:tc>
      </w:tr>
    </w:tbl>
    <w:p>
      <w:pPr>
        <w:numPr>
          <w:ilvl w:val="0"/>
          <w:numId w:val="0"/>
        </w:numPr>
        <w:ind w:left="0" w:leftChars="0"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pPr>
        <w:wordWrap w:val="0"/>
        <w:spacing w:line="300" w:lineRule="atLeast"/>
        <w:textAlignment w:val="baseline"/>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四、项目服务要求</w:t>
      </w:r>
    </w:p>
    <w:p>
      <w:pPr>
        <w:pStyle w:val="9"/>
        <w:numPr>
          <w:ilvl w:val="0"/>
          <w:numId w:val="0"/>
        </w:num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（一）投保工种：深</w:t>
      </w:r>
      <w:r>
        <w:rPr>
          <w:rFonts w:hint="eastAsia" w:ascii="仿宋" w:hAnsi="仿宋" w:eastAsia="仿宋" w:cs="仿宋"/>
          <w:color w:val="000000" w:themeColor="text1"/>
          <w:sz w:val="24"/>
          <w:szCs w:val="24"/>
          <w14:textFill>
            <w14:solidFill>
              <w14:schemeClr w14:val="tx1"/>
            </w14:solidFill>
          </w14:textFill>
        </w:rPr>
        <w:t>圳市龙华保安服务有限公司内外勤员工含保安</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清洁人员。</w:t>
      </w:r>
    </w:p>
    <w:p>
      <w:pPr>
        <w:numPr>
          <w:ilvl w:val="0"/>
          <w:numId w:val="0"/>
        </w:num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（二）投保人数：5000人</w:t>
      </w:r>
    </w:p>
    <w:p>
      <w:pPr>
        <w:numPr>
          <w:ilvl w:val="0"/>
          <w:numId w:val="0"/>
        </w:num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（三）投保年龄：18-69周岁</w:t>
      </w:r>
    </w:p>
    <w:p>
      <w:pPr>
        <w:numPr>
          <w:ilvl w:val="0"/>
          <w:numId w:val="0"/>
        </w:num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（四）投保方式：不记名投保</w:t>
      </w:r>
    </w:p>
    <w:p>
      <w:pPr>
        <w:pStyle w:val="9"/>
        <w:ind w:left="0" w:leftChars="0" w:firstLine="0" w:firstLineChars="0"/>
        <w:rPr>
          <w:rFonts w:hint="eastAsia" w:ascii="仿宋" w:hAnsi="仿宋" w:eastAsia="仿宋" w:cs="仿宋"/>
          <w:sz w:val="24"/>
          <w:szCs w:val="24"/>
          <w:lang w:val="en-US"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（五）主险条款：雇主责任险</w:t>
      </w:r>
    </w:p>
    <w:p>
      <w:pPr>
        <w:wordWrap w:val="0"/>
        <w:spacing w:line="300" w:lineRule="atLeast"/>
        <w:textAlignment w:val="baseline"/>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五、责任限额</w:t>
      </w:r>
    </w:p>
    <w:p>
      <w:pPr>
        <w:pStyle w:val="9"/>
        <w:ind w:left="0" w:leftChars="0"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（一）每人身故（含疾病身故）赔偿限额：RMB300000元；</w:t>
      </w:r>
    </w:p>
    <w:p>
      <w:pPr>
        <w:pStyle w:val="9"/>
        <w:ind w:left="0" w:leftChars="0"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（二）累计赔偿限额：RMB80000000元。</w:t>
      </w:r>
    </w:p>
    <w:p>
      <w:pPr>
        <w:spacing w:before="156" w:beforeLines="50" w:line="360" w:lineRule="auto"/>
        <w:rPr>
          <w:rFonts w:hint="eastAsia" w:ascii="仿宋" w:hAnsi="仿宋" w:eastAsia="仿宋" w:cs="仿宋"/>
          <w:sz w:val="24"/>
          <w:szCs w:val="24"/>
          <w:lang w:val="en-US" w:eastAsia="zh-CN"/>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六、保险责任：</w:t>
      </w:r>
      <w:r>
        <w:rPr>
          <w:rFonts w:hint="eastAsia" w:ascii="仿宋" w:hAnsi="仿宋" w:eastAsia="仿宋" w:cs="仿宋"/>
          <w:sz w:val="24"/>
          <w:szCs w:val="24"/>
          <w:lang w:val="en-US" w:eastAsia="zh-CN"/>
        </w:rPr>
        <w:t xml:space="preserve"> 在保险期间内，被保险人的工作人员在中华人民共和国境内（不包括港澳台地区）因下列原因导致伤残或死亡，依照中华人民共和国法律（不包括港澳台地区法律）应由被保险人承担的经济赔偿责任，保险人按照本保险合同约定负责赔偿：</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（一）在工作时间和工作场所内，因工作原因受到事故伤害；</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（二）工作时间前后在工作场所内，从事与工作有关的预备性或者收尾性工作受到事故伤害；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（三）在工作时间和工作场所内，因履行工作职责受到暴力等意外伤害；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（四）被诊断、鉴定为职业病；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（五）因工外出期间，由于工作原因受到伤害或者发生事故下落不明；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（六）在上下班途中，受到交通事故及意外事故伤害；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（七）在工作时间和工作岗位，突发疾病死亡或者在48小时之内经抢救无效死亡；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（八）在抢险救灾等维护国家利益、公共利益活动中受到伤害；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（九）原在军队服役，因战、因公负伤致残，已取得革命伤残军人证，到用人单位后旧伤复发；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（十）法律、行政法规规定应当认定为工伤的其他情形。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themeColor="text1"/>
          <w:kern w:val="2"/>
          <w:sz w:val="24"/>
          <w:szCs w:val="24"/>
          <w:highlight w:val="red"/>
          <w:lang w:val="en-US" w:eastAsia="zh-CN" w:bidi="ar-SA"/>
          <w14:textFill>
            <w14:solidFill>
              <w14:schemeClr w14:val="tx1"/>
            </w14:solidFill>
          </w14:textFill>
        </w:rPr>
      </w:pPr>
    </w:p>
    <w:p>
      <w:pPr>
        <w:wordWrap w:val="0"/>
        <w:spacing w:line="300" w:lineRule="atLeast"/>
        <w:textAlignment w:val="baseline"/>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七、附加条款：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1、雇主责任保险附加二十四小时人身意外扩展保险条款；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2、雇主责任保险附加社交和娱乐活动保险条款；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3、雇主责任保险附加预付赔款保险条款；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4、雇主责任保险附加非列明方式承保条款；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5、雇主责任保险附加错误与遗漏责任保险条款；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6、雇主责任保险附加员工食堂和宿舍保险条款；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7、雇主责任保险附加特殊天气保险条款；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8、雇主责任保险附加 24 小时国内公出责任保险条款；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9、雇主责任保险附加重大过失扩展保险条款；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10、意外伤害保险附加疾病身故保险条款；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000000" w:themeColor="text1"/>
          <w:kern w:val="2"/>
          <w:sz w:val="24"/>
          <w:szCs w:val="24"/>
          <w:highlight w:val="red"/>
          <w:lang w:val="en-US" w:eastAsia="zh-CN" w:bidi="ar-SA"/>
          <w14:textFill>
            <w14:solidFill>
              <w14:schemeClr w14:val="tx1"/>
            </w14:solidFill>
          </w14:textFill>
        </w:rPr>
      </w:pPr>
      <w:r>
        <w:rPr>
          <w:rFonts w:hint="eastAsia" w:ascii="仿宋" w:hAnsi="仿宋" w:eastAsia="仿宋" w:cs="仿宋"/>
          <w:b/>
          <w:bCs/>
          <w:sz w:val="24"/>
          <w:szCs w:val="24"/>
          <w:lang w:val="en-US" w:eastAsia="zh-CN"/>
        </w:rPr>
        <w:t>11、意外伤害保险附加超龄人员保险条款。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t>八、特别约定：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（1）本保险范围扩展至保险期间内全天 24 小时，而不论是否在工作期间，被保险人之雇员在此期间因意外事故或疾病而导致的死亡赔偿金，保险人承担赔偿责任，但以本保险单明细表中列明的限额为限。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（2）本保单只承保死亡责任。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（3）疾病身故首次投保的等待期为 0 天，连续续保则无等待期。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（4）出险时，若被保险人雇员实际职业类别高于保单人员清单列明职业类别的，保险人退还保险费，不承担保险责任。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kern w:val="2"/>
          <w:sz w:val="24"/>
          <w:szCs w:val="24"/>
          <w:highlight w:val="red"/>
          <w:lang w:val="en-US" w:eastAsia="zh-CN" w:bidi="ar-SA"/>
          <w14:textFill>
            <w14:solidFill>
              <w14:schemeClr w14:val="tx1"/>
            </w14:solidFill>
          </w14:textFill>
        </w:rPr>
      </w:pPr>
      <w:r>
        <w:rPr>
          <w:rFonts w:hint="eastAsia" w:ascii="仿宋" w:hAnsi="仿宋" w:eastAsia="仿宋" w:cs="仿宋"/>
          <w:b/>
          <w:bCs/>
          <w:sz w:val="24"/>
          <w:szCs w:val="24"/>
          <w:lang w:val="en-US" w:eastAsia="zh-CN"/>
        </w:rPr>
        <w:t>（5）月度批改特约：保险人同意给予投保单位自起保之日后新入职员工 1 个自然月的人员变更宽限期，但投保单位应在每个自然月最后一日之前（若遇节假日须提前）将本月变更人员清单以书面形式通知保险人，保险责任有效期在本保险人出具保险批单且投保人缴清该批单保险费后可以自被保险人入职之日起生效；在被保险人入职后投保单位书面通知本公司之前（时间不得超过一个自然月）发生的保险事故，在投保单位提供入职证明及考勤或工资证明等文件并补缴全部变更人员保险费后由本保险人承担保险责任；若因投保单位未能在规定的时间内及时向本保险人提供人员名单或未缴清全额保险费而引起的保险纠纷，本保险人不承担任何赔偿责任，由投保单位自行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t>九、服务要求：</w:t>
      </w:r>
    </w:p>
    <w:p>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1.承保服务</w:t>
      </w:r>
    </w:p>
    <w:p>
      <w:pPr>
        <w:pStyle w:val="2"/>
        <w:keepNext w:val="0"/>
        <w:keepLines w:val="0"/>
        <w:pageBreakBefore w:val="0"/>
        <w:widowControl w:val="0"/>
        <w:kinsoku/>
        <w:wordWrap/>
        <w:overflowPunct/>
        <w:topLinePunct w:val="0"/>
        <w:autoSpaceDE/>
        <w:autoSpaceDN/>
        <w:bidi w:val="0"/>
        <w:adjustRightInd/>
        <w:snapToGrid/>
        <w:spacing w:line="400" w:lineRule="exact"/>
        <w:ind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（1）须在中标通知书发出7个工作日内，指派服务专员提供服务，负责保险购买、出险定损、理赔、结算等全过程服务；</w:t>
      </w:r>
    </w:p>
    <w:p>
      <w:pPr>
        <w:pStyle w:val="2"/>
        <w:keepNext w:val="0"/>
        <w:keepLines w:val="0"/>
        <w:pageBreakBefore w:val="0"/>
        <w:widowControl w:val="0"/>
        <w:kinsoku/>
        <w:wordWrap/>
        <w:overflowPunct/>
        <w:topLinePunct w:val="0"/>
        <w:autoSpaceDE/>
        <w:autoSpaceDN/>
        <w:bidi w:val="0"/>
        <w:adjustRightInd/>
        <w:snapToGrid/>
        <w:spacing w:line="400" w:lineRule="exact"/>
        <w:ind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（2）根据投保清单及经采购人确认的保险方案计算保费； </w:t>
      </w:r>
    </w:p>
    <w:p>
      <w:pPr>
        <w:pStyle w:val="2"/>
        <w:keepNext w:val="0"/>
        <w:keepLines w:val="0"/>
        <w:pageBreakBefore w:val="0"/>
        <w:widowControl w:val="0"/>
        <w:kinsoku/>
        <w:wordWrap/>
        <w:overflowPunct/>
        <w:topLinePunct w:val="0"/>
        <w:autoSpaceDE/>
        <w:autoSpaceDN/>
        <w:bidi w:val="0"/>
        <w:adjustRightInd/>
        <w:snapToGrid/>
        <w:spacing w:line="400" w:lineRule="exact"/>
        <w:ind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（3）提供24小时热线电话，受理采购人咨询、各类事故报案；</w:t>
      </w:r>
    </w:p>
    <w:p>
      <w:pPr>
        <w:pStyle w:val="2"/>
        <w:keepNext w:val="0"/>
        <w:keepLines w:val="0"/>
        <w:pageBreakBefore w:val="0"/>
        <w:widowControl w:val="0"/>
        <w:kinsoku/>
        <w:wordWrap/>
        <w:overflowPunct/>
        <w:topLinePunct w:val="0"/>
        <w:autoSpaceDE/>
        <w:autoSpaceDN/>
        <w:bidi w:val="0"/>
        <w:adjustRightInd/>
        <w:snapToGrid/>
        <w:spacing w:line="400" w:lineRule="exact"/>
        <w:ind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（4）提供通过线上查询承保理赔数据服务；</w:t>
      </w:r>
    </w:p>
    <w:p>
      <w:pPr>
        <w:pStyle w:val="2"/>
        <w:keepNext w:val="0"/>
        <w:keepLines w:val="0"/>
        <w:pageBreakBefore w:val="0"/>
        <w:widowControl w:val="0"/>
        <w:kinsoku/>
        <w:wordWrap/>
        <w:overflowPunct/>
        <w:topLinePunct w:val="0"/>
        <w:autoSpaceDE/>
        <w:autoSpaceDN/>
        <w:bidi w:val="0"/>
        <w:adjustRightInd/>
        <w:snapToGrid/>
        <w:spacing w:line="400" w:lineRule="exact"/>
        <w:ind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（5）中标人需提供统一保险期限方案。</w:t>
      </w:r>
    </w:p>
    <w:p>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2.理赔服务</w:t>
      </w:r>
    </w:p>
    <w:p>
      <w:pPr>
        <w:pStyle w:val="2"/>
        <w:keepNext w:val="0"/>
        <w:keepLines w:val="0"/>
        <w:pageBreakBefore w:val="0"/>
        <w:widowControl w:val="0"/>
        <w:kinsoku/>
        <w:wordWrap/>
        <w:overflowPunct/>
        <w:topLinePunct w:val="0"/>
        <w:autoSpaceDE/>
        <w:autoSpaceDN/>
        <w:bidi w:val="0"/>
        <w:adjustRightInd/>
        <w:snapToGrid/>
        <w:spacing w:line="400" w:lineRule="exact"/>
        <w:ind w:firstLineChars="200"/>
        <w:jc w:val="left"/>
        <w:textAlignment w:val="auto"/>
        <w:rPr>
          <w:rFonts w:hint="eastAsia"/>
          <w:lang w:val="en-US" w:eastAsia="zh-CN"/>
        </w:rPr>
      </w:pPr>
      <w:r>
        <w:rPr>
          <w:rFonts w:hint="eastAsia" w:ascii="仿宋" w:hAnsi="仿宋" w:eastAsia="仿宋" w:cs="仿宋"/>
          <w:bCs/>
          <w:color w:val="000000"/>
          <w:kern w:val="0"/>
          <w:sz w:val="24"/>
          <w:szCs w:val="24"/>
        </w:rPr>
        <w:t>须在中标通知书发出7个工作日内，至少指定两名在编理赔专职服务人员组建服务团队，处理定损、核赔等相关事宜（注：理赔专职服务人员须专职处理保险理赔事宜，确保事故发生时专职服务人员能够第一时间响应工作安排）</w:t>
      </w:r>
      <w:r>
        <w:rPr>
          <w:rFonts w:hint="eastAsia" w:ascii="仿宋" w:hAnsi="仿宋" w:eastAsia="仿宋" w:cs="仿宋"/>
          <w:bCs/>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t>十、支付方式：</w:t>
      </w:r>
    </w:p>
    <w:p>
      <w:pPr>
        <w:pStyle w:val="13"/>
        <w:keepNext w:val="0"/>
        <w:keepLines w:val="0"/>
        <w:pageBreakBefore w:val="0"/>
        <w:widowControl w:val="0"/>
        <w:tabs>
          <w:tab w:val="left" w:pos="1023"/>
        </w:tabs>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保险责任期限开始后实际付款前，保险人应按照规定承保保险责任，保险人向采购人出具该有保险人缴费专用章的缴费通知书、保单和等额的增值税专用发票，采购人在收到缴费通知书、保单和等额的增值税专用发票后30个工作日内缴纳保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4"/>
          <w:szCs w:val="24"/>
          <w:highlight w:val="none"/>
          <w:lang w:val="en-US" w:eastAsia="zh-CN" w:bidi="ar-SA"/>
          <w14:textFill>
            <w14:solidFill>
              <w14:schemeClr w14:val="tx1"/>
            </w14:solidFill>
          </w14:textFill>
        </w:rPr>
        <w:t>十一、投标报价：</w:t>
      </w:r>
    </w:p>
    <w:p>
      <w:pPr>
        <w:keepNext w:val="0"/>
        <w:keepLines w:val="0"/>
        <w:pageBreakBefore w:val="0"/>
        <w:widowControl w:val="0"/>
        <w:kinsoku/>
        <w:wordWrap/>
        <w:overflowPunct/>
        <w:topLinePunct w:val="0"/>
        <w:autoSpaceDE/>
        <w:autoSpaceDN/>
        <w:bidi w:val="0"/>
        <w:adjustRightInd/>
        <w:snapToGrid/>
        <w:spacing w:line="400" w:lineRule="exact"/>
        <w:ind w:firstLine="487" w:firstLineChars="202"/>
        <w:textAlignment w:val="auto"/>
        <w:rPr>
          <w:rFonts w:hint="eastAsia" w:ascii="仿宋" w:hAnsi="仿宋" w:eastAsia="仿宋" w:cs="仿宋"/>
          <w:sz w:val="24"/>
          <w:szCs w:val="24"/>
        </w:rPr>
      </w:pPr>
      <w:r>
        <w:rPr>
          <w:rFonts w:hint="eastAsia" w:ascii="仿宋" w:hAnsi="仿宋" w:eastAsia="仿宋" w:cs="仿宋"/>
          <w:b/>
          <w:bCs/>
          <w:sz w:val="24"/>
          <w:szCs w:val="24"/>
        </w:rPr>
        <w:t>1、报价要求：</w:t>
      </w:r>
      <w:r>
        <w:rPr>
          <w:rFonts w:hint="eastAsia" w:ascii="仿宋" w:hAnsi="仿宋" w:eastAsia="仿宋" w:cs="仿宋"/>
          <w:sz w:val="24"/>
          <w:szCs w:val="24"/>
        </w:rPr>
        <w:t>本项目服务费采用包干制，包括服务成本、法定税费和管理企业的利润、工资、检测设备、车辆使用、管理费用等所需的一切费用，要求各投标单位报总报价。所有投标均以人民币报价。投标人的投标报价应符合《中华人民共和国价格法》的有关规定。</w:t>
      </w:r>
    </w:p>
    <w:p>
      <w:pPr>
        <w:keepNext w:val="0"/>
        <w:keepLines w:val="0"/>
        <w:pageBreakBefore w:val="0"/>
        <w:widowControl w:val="0"/>
        <w:kinsoku/>
        <w:wordWrap/>
        <w:overflowPunct/>
        <w:topLinePunct w:val="0"/>
        <w:autoSpaceDE/>
        <w:autoSpaceDN/>
        <w:bidi w:val="0"/>
        <w:adjustRightInd/>
        <w:snapToGrid/>
        <w:spacing w:line="400" w:lineRule="exact"/>
        <w:ind w:firstLine="487" w:firstLineChars="202"/>
        <w:textAlignment w:val="auto"/>
        <w:rPr>
          <w:rFonts w:hint="eastAsia" w:ascii="仿宋" w:hAnsi="仿宋" w:eastAsia="仿宋" w:cs="仿宋"/>
          <w:b/>
          <w:bCs/>
          <w:sz w:val="24"/>
          <w:szCs w:val="24"/>
        </w:rPr>
      </w:pPr>
      <w:r>
        <w:rPr>
          <w:rFonts w:hint="eastAsia" w:ascii="仿宋" w:hAnsi="仿宋" w:eastAsia="仿宋" w:cs="仿宋"/>
          <w:b/>
          <w:bCs/>
          <w:sz w:val="24"/>
          <w:szCs w:val="24"/>
        </w:rPr>
        <w:t>2、投标报价构成</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①企业根据成本自行决定报价，但不得以低于其企业成本的报价投标；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②投标供应商的投标报价不得超过招标文件规定的预算金额；</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③投标供应商的投标报价，应是本项目招标范围和招标文件及合同条款上所列的各项内容中所述的全部，不得以任何理由予以重复，并以投标供应商在价格标中提出的单价或总价为依据；</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④除非采购代理机构通过修改招标文件予以更正，否则，投标供应商应毫无例外地按招标文件所列的清单中项目和数量填报单价和合价。投标供应商未填单价或合价的项目，在实施后，将不得以支付，并视作该项费用已包括在其它有价款的单价或合价内；</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⑤投标供应商投标报价总额一经中标后，中标价即为该项目的合同总价；</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rPr>
        <w:t>投标报价应包括税率，税前报价、含税价，税前报价将作为价格评审的依据。</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bookmarkStart w:id="1" w:name="_GoBack"/>
      <w:bookmarkEnd w:id="1"/>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5A402"/>
    <w:rsid w:val="FEF5A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style>
  <w:style w:type="paragraph" w:styleId="3">
    <w:name w:val="Body Text"/>
    <w:basedOn w:val="1"/>
    <w:qFormat/>
    <w:uiPriority w:val="1"/>
    <w:pPr>
      <w:ind w:left="779" w:firstLine="641"/>
      <w:jc w:val="left"/>
    </w:pPr>
    <w:rPr>
      <w:rFonts w:ascii="宋体" w:hAnsi="宋体"/>
      <w:kern w:val="0"/>
      <w:sz w:val="32"/>
      <w:szCs w:val="32"/>
      <w:lang w:eastAsia="en-US"/>
    </w:rPr>
  </w:style>
  <w:style w:type="paragraph" w:styleId="4">
    <w:name w:val="Body Text Indent"/>
    <w:basedOn w:val="1"/>
    <w:next w:val="5"/>
    <w:qFormat/>
    <w:uiPriority w:val="0"/>
    <w:pPr>
      <w:ind w:firstLine="600" w:firstLineChars="200"/>
    </w:pPr>
    <w:rPr>
      <w:sz w:val="30"/>
    </w:rPr>
  </w:style>
  <w:style w:type="paragraph" w:styleId="5">
    <w:name w:val="envelope return"/>
    <w:basedOn w:val="1"/>
    <w:qFormat/>
    <w:uiPriority w:val="99"/>
    <w:rPr>
      <w:rFonts w:ascii="Arial" w:hAnsi="Arial"/>
    </w:rPr>
  </w:style>
  <w:style w:type="paragraph" w:styleId="6">
    <w:name w:val="Plain Text"/>
    <w:basedOn w:val="1"/>
    <w:qFormat/>
    <w:uiPriority w:val="0"/>
    <w:rPr>
      <w:rFonts w:ascii="Times New Roman"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spacing w:after="120"/>
      <w:ind w:left="420" w:leftChars="200" w:firstLine="420"/>
    </w:pPr>
    <w:rPr>
      <w:rFonts w:ascii="Calibri" w:hAnsi="Calibr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2024-06-27T10:07:00Z</dcterms:created>
  <dc:creator>珊珊</dc:creator>
  <cp:lastModifiedBy>珊珊</cp:lastModifiedBy>
  <dcterms:modified xsi:type="dcterms:W3CDTF">2024-06-27T10:08:01Z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5634D86B19ADDA454AC97C66E4716DFC_41</vt:lpwstr>
  </property>
</Properties>
</file>