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1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380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512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380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企业代表</w:t>
            </w:r>
          </w:p>
          <w:p>
            <w:pPr>
              <w:adjustRightInd w:val="0"/>
              <w:snapToGrid w:val="0"/>
              <w:spacing w:line="440" w:lineRule="exact"/>
              <w:jc w:val="center"/>
              <w:rPr>
                <w:rFonts w:hint="eastAsia"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工程业绩</w:t>
            </w:r>
          </w:p>
        </w:tc>
        <w:tc>
          <w:tcPr>
            <w:tcW w:w="5128" w:type="dxa"/>
            <w:shd w:val="clear" w:color="auto" w:fill="auto"/>
            <w:vAlign w:val="center"/>
          </w:tcPr>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在国内承接的五星级酒店（招标人认可的五星级酒店品牌详见“附件1.4”）的标识制作及安装工程业绩，单项合同金额大于本项目招标控制价1/2为有效标识制作及安装项目业绩,业绩需提供4项，超过4项只取列表前4项。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w:t>
            </w:r>
            <w:r>
              <w:rPr>
                <w:rFonts w:hint="eastAsia" w:ascii="仿宋" w:hAnsi="仿宋" w:eastAsia="仿宋" w:cs="仿宋"/>
                <w:color w:val="auto"/>
                <w:sz w:val="28"/>
                <w:szCs w:val="24"/>
                <w:highlight w:val="none"/>
                <w:lang w:val="en-US" w:eastAsia="zh-CN"/>
              </w:rPr>
              <w:t>需</w:t>
            </w:r>
            <w:r>
              <w:rPr>
                <w:rFonts w:hint="default" w:ascii="仿宋" w:hAnsi="仿宋" w:eastAsia="仿宋" w:cs="仿宋"/>
                <w:color w:val="auto"/>
                <w:sz w:val="28"/>
                <w:szCs w:val="24"/>
                <w:highlight w:val="none"/>
                <w:lang w:val="en-US" w:eastAsia="zh-CN"/>
              </w:rPr>
              <w:t>体现合同主体、合同范围、合同金额、合同盖章等关键页。同时需提供开具至</w:t>
            </w:r>
            <w:r>
              <w:rPr>
                <w:rFonts w:hint="eastAsia" w:ascii="仿宋" w:hAnsi="仿宋" w:eastAsia="仿宋" w:cs="仿宋"/>
                <w:color w:val="auto"/>
                <w:sz w:val="28"/>
                <w:szCs w:val="24"/>
                <w:highlight w:val="none"/>
                <w:lang w:val="en-US" w:eastAsia="zh-CN"/>
              </w:rPr>
              <w:t>合同金额</w:t>
            </w:r>
            <w:r>
              <w:rPr>
                <w:rFonts w:hint="default" w:ascii="仿宋" w:hAnsi="仿宋" w:eastAsia="仿宋" w:cs="仿宋"/>
                <w:color w:val="auto"/>
                <w:sz w:val="28"/>
                <w:szCs w:val="24"/>
                <w:highlight w:val="none"/>
                <w:lang w:val="en-US" w:eastAsia="zh-CN"/>
              </w:rPr>
              <w:t>60%</w:t>
            </w:r>
            <w:r>
              <w:rPr>
                <w:rFonts w:hint="eastAsia" w:ascii="仿宋" w:hAnsi="仿宋" w:eastAsia="仿宋" w:cs="仿宋"/>
                <w:color w:val="auto"/>
                <w:sz w:val="28"/>
                <w:szCs w:val="24"/>
                <w:highlight w:val="none"/>
                <w:lang w:val="en-US" w:eastAsia="zh-CN"/>
              </w:rPr>
              <w:t>的</w:t>
            </w:r>
            <w:r>
              <w:rPr>
                <w:rFonts w:hint="default" w:ascii="仿宋" w:hAnsi="仿宋" w:eastAsia="仿宋" w:cs="仿宋"/>
                <w:color w:val="auto"/>
                <w:sz w:val="28"/>
                <w:szCs w:val="24"/>
                <w:highlight w:val="none"/>
                <w:lang w:val="en-US" w:eastAsia="zh-CN"/>
              </w:rPr>
              <w:t>供货</w:t>
            </w:r>
            <w:r>
              <w:rPr>
                <w:rFonts w:hint="eastAsia" w:ascii="仿宋" w:hAnsi="仿宋" w:eastAsia="仿宋" w:cs="仿宋"/>
                <w:color w:val="auto"/>
                <w:sz w:val="28"/>
                <w:szCs w:val="24"/>
                <w:highlight w:val="none"/>
                <w:lang w:val="en-US" w:eastAsia="zh-CN"/>
              </w:rPr>
              <w:t>安装</w:t>
            </w:r>
            <w:r>
              <w:rPr>
                <w:rFonts w:hint="default" w:ascii="仿宋" w:hAnsi="仿宋" w:eastAsia="仿宋" w:cs="仿宋"/>
                <w:color w:val="auto"/>
                <w:sz w:val="28"/>
                <w:szCs w:val="24"/>
                <w:highlight w:val="none"/>
                <w:lang w:val="en-US" w:eastAsia="zh-CN"/>
              </w:rPr>
              <w:t>发票复印件</w:t>
            </w:r>
            <w:r>
              <w:rPr>
                <w:rFonts w:hint="eastAsia" w:ascii="仿宋" w:hAnsi="仿宋" w:eastAsia="仿宋" w:cs="仿宋"/>
                <w:color w:val="auto"/>
                <w:sz w:val="28"/>
                <w:szCs w:val="24"/>
                <w:highlight w:val="none"/>
                <w:lang w:val="en-US" w:eastAsia="zh-CN"/>
              </w:rPr>
              <w:t>盖公章（供货发票须体现投标人单位名称，发票需另提供国家税务局查询证明截图）</w:t>
            </w:r>
            <w:r>
              <w:rPr>
                <w:rFonts w:hint="default" w:ascii="仿宋" w:hAnsi="仿宋" w:eastAsia="仿宋" w:cs="仿宋"/>
                <w:color w:val="auto"/>
                <w:sz w:val="28"/>
                <w:szCs w:val="24"/>
                <w:highlight w:val="none"/>
                <w:lang w:val="en-US" w:eastAsia="zh-CN"/>
              </w:rPr>
              <w:t>；</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制造商规模</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投标人制造厂房：提供投标人自有加工生产车间的房地产证明或租赁合同等证明材料扫描件并加盖投标人公章。</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证明材料：格式自拟，要求自有房地产证明或租赁合同需为投标人主体（或为投标人绝对控股主体），需体现占地面积，同时需附上厂房实景照片。</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投标人生产设备</w:t>
            </w:r>
            <w:r>
              <w:rPr>
                <w:rFonts w:hint="eastAsia" w:ascii="仿宋" w:hAnsi="仿宋" w:eastAsia="仿宋" w:cs="仿宋"/>
                <w:color w:val="auto"/>
                <w:sz w:val="28"/>
                <w:szCs w:val="24"/>
                <w:highlight w:val="none"/>
                <w:lang w:val="en-US" w:eastAsia="zh-CN"/>
              </w:rPr>
              <w:t>：投标人自有设备包含光纤激光切割机、开槽机、雕刻机、气动砂纸机、火焰抛光机、广告字激光焊接机、干燥机、角磨机、空压机、氩弧焊机。格式详见“附件1.5”。</w:t>
            </w:r>
          </w:p>
          <w:p>
            <w:pPr>
              <w:adjustRightInd w:val="0"/>
              <w:snapToGrid w:val="0"/>
              <w:spacing w:line="440" w:lineRule="exact"/>
              <w:jc w:val="left"/>
              <w:rPr>
                <w:rFonts w:hint="default" w:ascii="Times New Roman" w:hAnsi="Times New Roman" w:eastAsia="宋体" w:cs="Times New Roman"/>
                <w:kern w:val="2"/>
                <w:sz w:val="21"/>
                <w:lang w:val="en-US" w:eastAsia="zh-CN" w:bidi="ar-SA"/>
              </w:rPr>
            </w:pPr>
            <w:r>
              <w:rPr>
                <w:rFonts w:hint="eastAsia" w:ascii="仿宋" w:hAnsi="仿宋" w:eastAsia="仿宋" w:cs="仿宋"/>
                <w:color w:val="auto"/>
                <w:sz w:val="28"/>
                <w:szCs w:val="24"/>
                <w:highlight w:val="none"/>
                <w:lang w:val="en-US" w:eastAsia="zh-CN"/>
              </w:rPr>
              <w:t>证明材料：上述设备需提供购买设备发票（发票需另提供国家税务局查询证明截图）和现场设备照片。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标识制作及安装工程技术标：</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提供技术标（格式自拟）：包括拟派项目经理、设计主创项目业绩案例，其他拟派项目人员组织结构；项目管理体系、项目任务划分及施工程序；生产施工方案、交货运输方案、安装方案、技术保障措施及供货安装计划与措施；质量管理方案及措施、安全文明施工管理体系及措施、施工管理重难点分析及解决方案；有效期内国家标准《商品售后服务评价认证》标识牌售后服务认证证书。</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根据技术标内容进行评分。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六</w:t>
            </w:r>
          </w:p>
        </w:tc>
        <w:tc>
          <w:tcPr>
            <w:tcW w:w="1303" w:type="dxa"/>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投标样板</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投标样板</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投标人应提交的投标货物的样板：</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客房门牌标识（客房号：7008）；洗手间标识（男+女）；电梯厅楼层号（编号：7层）。</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根据投标人提供的样板进行评分。</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13"/>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adjustRightInd w:val="0"/>
        <w:spacing w:before="157" w:beforeLines="50" w:line="360" w:lineRule="auto"/>
        <w:ind w:firstLine="0" w:firstLineChars="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bCs w:val="0"/>
          <w:color w:val="auto"/>
          <w:sz w:val="24"/>
          <w:szCs w:val="24"/>
          <w:highlight w:val="none"/>
        </w:rPr>
        <w:t>注：</w:t>
      </w:r>
      <w:r>
        <w:rPr>
          <w:rFonts w:hint="eastAsia" w:ascii="仿宋_GB2312" w:hAnsi="仿宋_GB2312" w:eastAsia="仿宋_GB2312" w:cs="仿宋_GB2312"/>
          <w:bCs w:val="0"/>
          <w:color w:val="auto"/>
          <w:sz w:val="24"/>
          <w:szCs w:val="24"/>
          <w:highlight w:val="none"/>
          <w:lang w:val="en-US" w:eastAsia="zh-CN"/>
        </w:rPr>
        <w:t>相关证书扫描件应后附，</w:t>
      </w:r>
      <w:r>
        <w:rPr>
          <w:rFonts w:hint="eastAsia" w:ascii="仿宋_GB2312" w:hAnsi="仿宋_GB2312" w:eastAsia="仿宋_GB2312" w:cs="仿宋_GB2312"/>
          <w:bCs w:val="0"/>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投标报价一览表</w:t>
      </w:r>
    </w:p>
    <w:p>
      <w:pPr>
        <w:pStyle w:val="10"/>
        <w:spacing w:line="36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深圳市龙华建设发展集团有限公司</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时尚艺术大厦项目标识供货及安装工程 </w:t>
      </w:r>
      <w:r>
        <w:rPr>
          <w:rFonts w:hint="eastAsia" w:ascii="仿宋" w:hAnsi="仿宋" w:eastAsia="仿宋" w:cs="仿宋"/>
          <w:bCs/>
          <w:color w:val="auto"/>
          <w:sz w:val="24"/>
          <w:szCs w:val="24"/>
          <w:highlight w:val="none"/>
        </w:rPr>
        <w:t>的报价见下表所列：</w:t>
      </w:r>
    </w:p>
    <w:tbl>
      <w:tblPr>
        <w:tblStyle w:val="1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400"/>
        <w:gridCol w:w="1724"/>
        <w:gridCol w:w="1696"/>
        <w:gridCol w:w="917"/>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2" w:hRule="atLeast"/>
          <w:jc w:val="center"/>
        </w:trPr>
        <w:tc>
          <w:tcPr>
            <w:tcW w:w="518" w:type="dxa"/>
            <w:shd w:val="clear" w:color="auto" w:fill="auto"/>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2400" w:type="dxa"/>
            <w:shd w:val="clear" w:color="auto" w:fill="auto"/>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项目</w:t>
            </w:r>
          </w:p>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名称</w:t>
            </w:r>
          </w:p>
        </w:tc>
        <w:tc>
          <w:tcPr>
            <w:tcW w:w="1724" w:type="dxa"/>
            <w:shd w:val="clear" w:color="auto" w:fill="auto"/>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招标控制价</w:t>
            </w:r>
          </w:p>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（人民币/元）</w:t>
            </w:r>
          </w:p>
        </w:tc>
        <w:tc>
          <w:tcPr>
            <w:tcW w:w="1696" w:type="dxa"/>
            <w:shd w:val="clear" w:color="auto" w:fill="auto"/>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投标报价</w:t>
            </w:r>
          </w:p>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（人民币/元）</w:t>
            </w:r>
          </w:p>
        </w:tc>
        <w:tc>
          <w:tcPr>
            <w:tcW w:w="917" w:type="dxa"/>
            <w:shd w:val="clear" w:color="auto" w:fill="auto"/>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净下浮率%</w:t>
            </w:r>
          </w:p>
        </w:tc>
        <w:tc>
          <w:tcPr>
            <w:tcW w:w="2810" w:type="dxa"/>
            <w:shd w:val="clear" w:color="auto" w:fill="auto"/>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8"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w:t>
            </w:r>
          </w:p>
        </w:tc>
        <w:tc>
          <w:tcPr>
            <w:tcW w:w="2400"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建筑安装工程费</w:t>
            </w:r>
          </w:p>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（不含不可竞争费）</w:t>
            </w:r>
          </w:p>
        </w:tc>
        <w:tc>
          <w:tcPr>
            <w:tcW w:w="1724"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1,259,145.35</w:t>
            </w:r>
          </w:p>
        </w:tc>
        <w:tc>
          <w:tcPr>
            <w:tcW w:w="1696"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p>
        </w:tc>
        <w:tc>
          <w:tcPr>
            <w:tcW w:w="917"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p>
        </w:tc>
        <w:tc>
          <w:tcPr>
            <w:tcW w:w="2810" w:type="dxa"/>
            <w:vMerge w:val="restart"/>
            <w:tcBorders/>
            <w:vAlign w:val="center"/>
          </w:tcPr>
          <w:p>
            <w:pPr>
              <w:widowControl w:val="0"/>
              <w:autoSpaceDE w:val="0"/>
              <w:autoSpaceDN w:val="0"/>
              <w:adjustRightInd w:val="0"/>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sz w:val="24"/>
                <w:szCs w:val="24"/>
              </w:rPr>
              <w:t>含税，总价含125,914.54元暂列金，为固定费用，不可竞争。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8"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w:t>
            </w:r>
          </w:p>
        </w:tc>
        <w:tc>
          <w:tcPr>
            <w:tcW w:w="2400"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暂列金额</w:t>
            </w:r>
          </w:p>
          <w:p>
            <w:pPr>
              <w:widowControl w:val="0"/>
              <w:autoSpaceDE w:val="0"/>
              <w:autoSpaceDN w:val="0"/>
              <w:adjustRightInd w:val="0"/>
              <w:snapToGrid w:val="0"/>
              <w:ind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（不可竞争费用）</w:t>
            </w:r>
          </w:p>
        </w:tc>
        <w:tc>
          <w:tcPr>
            <w:tcW w:w="1724"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125,914.54</w:t>
            </w:r>
          </w:p>
        </w:tc>
        <w:tc>
          <w:tcPr>
            <w:tcW w:w="1696"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125,914.54</w:t>
            </w:r>
          </w:p>
        </w:tc>
        <w:tc>
          <w:tcPr>
            <w:tcW w:w="917"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w:t>
            </w:r>
          </w:p>
        </w:tc>
        <w:tc>
          <w:tcPr>
            <w:tcW w:w="2810" w:type="dxa"/>
            <w:vMerge w:val="continue"/>
            <w:tcBorders/>
            <w:vAlign w:val="center"/>
          </w:tcPr>
          <w:p>
            <w:pPr>
              <w:widowControl w:val="0"/>
              <w:autoSpaceDE w:val="0"/>
              <w:autoSpaceDN w:val="0"/>
              <w:adjustRightInd w:val="0"/>
              <w:snapToGrid w:val="0"/>
              <w:ind w:firstLine="0" w:firstLineChars="0"/>
              <w:jc w:val="left"/>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8"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3</w:t>
            </w:r>
          </w:p>
        </w:tc>
        <w:tc>
          <w:tcPr>
            <w:tcW w:w="2400"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投标总价合计（3=1+2）</w:t>
            </w:r>
          </w:p>
        </w:tc>
        <w:tc>
          <w:tcPr>
            <w:tcW w:w="1724"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1,385,059.89</w:t>
            </w:r>
          </w:p>
        </w:tc>
        <w:tc>
          <w:tcPr>
            <w:tcW w:w="1696"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p>
        </w:tc>
        <w:tc>
          <w:tcPr>
            <w:tcW w:w="917"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t>
            </w:r>
          </w:p>
        </w:tc>
        <w:tc>
          <w:tcPr>
            <w:tcW w:w="2810" w:type="dxa"/>
            <w:vMerge w:val="continue"/>
            <w:tcBorders/>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8" w:type="dxa"/>
            <w:vMerge w:val="restart"/>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4</w:t>
            </w:r>
          </w:p>
        </w:tc>
        <w:tc>
          <w:tcPr>
            <w:tcW w:w="2400"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color w:val="000000" w:themeColor="text1"/>
                <w:sz w:val="24"/>
                <w:szCs w:val="24"/>
                <w14:textFill>
                  <w14:solidFill>
                    <w14:schemeClr w14:val="tx1"/>
                  </w14:solidFill>
                </w14:textFill>
              </w:rPr>
              <w:t>增值税税率</w:t>
            </w:r>
          </w:p>
        </w:tc>
        <w:tc>
          <w:tcPr>
            <w:tcW w:w="1724"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w:t>
            </w:r>
          </w:p>
        </w:tc>
        <w:tc>
          <w:tcPr>
            <w:tcW w:w="1696"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p>
        </w:tc>
        <w:tc>
          <w:tcPr>
            <w:tcW w:w="3727" w:type="dxa"/>
            <w:gridSpan w:val="2"/>
            <w:vAlign w:val="center"/>
          </w:tcPr>
          <w:p>
            <w:pPr>
              <w:widowControl w:val="0"/>
              <w:autoSpaceDE w:val="0"/>
              <w:autoSpaceDN w:val="0"/>
              <w:adjustRightInd w:val="0"/>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填写税率%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8" w:type="dxa"/>
            <w:vMerge w:val="continue"/>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p>
        </w:tc>
        <w:tc>
          <w:tcPr>
            <w:tcW w:w="2400"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color w:val="000000" w:themeColor="text1"/>
                <w:sz w:val="24"/>
                <w:szCs w:val="24"/>
                <w14:textFill>
                  <w14:solidFill>
                    <w14:schemeClr w14:val="tx1"/>
                  </w14:solidFill>
                </w14:textFill>
              </w:rPr>
              <w:t>不含增值税价格</w:t>
            </w:r>
          </w:p>
        </w:tc>
        <w:tc>
          <w:tcPr>
            <w:tcW w:w="1724"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w:t>
            </w:r>
          </w:p>
        </w:tc>
        <w:tc>
          <w:tcPr>
            <w:tcW w:w="1696"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p>
        </w:tc>
        <w:tc>
          <w:tcPr>
            <w:tcW w:w="3727" w:type="dxa"/>
            <w:gridSpan w:val="2"/>
            <w:vAlign w:val="center"/>
          </w:tcPr>
          <w:p>
            <w:pPr>
              <w:widowControl w:val="0"/>
              <w:autoSpaceDE w:val="0"/>
              <w:autoSpaceDN w:val="0"/>
              <w:adjustRightInd w:val="0"/>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不含增值税价格=投标总价（含税总价）-增值税税金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8" w:type="dxa"/>
            <w:vMerge w:val="continue"/>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rPr>
            </w:pPr>
          </w:p>
        </w:tc>
        <w:tc>
          <w:tcPr>
            <w:tcW w:w="2400"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r>
              <w:rPr>
                <w:rFonts w:hint="eastAsia" w:ascii="仿宋" w:hAnsi="仿宋" w:eastAsia="仿宋" w:cs="仿宋"/>
                <w:b w:val="0"/>
                <w:bCs/>
                <w:color w:val="000000" w:themeColor="text1"/>
                <w:sz w:val="24"/>
                <w:szCs w:val="24"/>
                <w14:textFill>
                  <w14:solidFill>
                    <w14:schemeClr w14:val="tx1"/>
                  </w14:solidFill>
                </w14:textFill>
              </w:rPr>
              <w:t>增值税税金</w:t>
            </w:r>
          </w:p>
        </w:tc>
        <w:tc>
          <w:tcPr>
            <w:tcW w:w="1724"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w:t>
            </w:r>
          </w:p>
        </w:tc>
        <w:tc>
          <w:tcPr>
            <w:tcW w:w="1696" w:type="dxa"/>
            <w:vAlign w:val="center"/>
          </w:tcPr>
          <w:p>
            <w:pPr>
              <w:widowControl w:val="0"/>
              <w:autoSpaceDE w:val="0"/>
              <w:autoSpaceDN w:val="0"/>
              <w:adjustRightInd w:val="0"/>
              <w:snapToGrid w:val="0"/>
              <w:ind w:firstLine="0" w:firstLineChars="0"/>
              <w:jc w:val="center"/>
              <w:rPr>
                <w:rFonts w:hint="eastAsia" w:ascii="仿宋" w:hAnsi="仿宋" w:eastAsia="仿宋" w:cs="仿宋"/>
                <w:b w:val="0"/>
                <w:bCs/>
                <w:sz w:val="24"/>
                <w:szCs w:val="24"/>
              </w:rPr>
            </w:pPr>
          </w:p>
        </w:tc>
        <w:tc>
          <w:tcPr>
            <w:tcW w:w="3727" w:type="dxa"/>
            <w:gridSpan w:val="2"/>
            <w:vAlign w:val="center"/>
          </w:tcPr>
          <w:p>
            <w:pPr>
              <w:widowControl w:val="0"/>
              <w:autoSpaceDE w:val="0"/>
              <w:autoSpaceDN w:val="0"/>
              <w:adjustRightInd w:val="0"/>
              <w:snapToGrid w:val="0"/>
              <w:ind w:firstLine="0" w:firstLineChars="0"/>
              <w:jc w:val="left"/>
              <w:rPr>
                <w:rFonts w:hint="eastAsia" w:ascii="仿宋" w:hAnsi="仿宋" w:eastAsia="仿宋" w:cs="仿宋"/>
                <w:b w:val="0"/>
                <w:bCs/>
                <w:sz w:val="24"/>
                <w:szCs w:val="24"/>
              </w:rPr>
            </w:pPr>
            <w:r>
              <w:rPr>
                <w:rFonts w:hint="eastAsia" w:ascii="仿宋" w:hAnsi="仿宋" w:eastAsia="仿宋" w:cs="仿宋"/>
                <w:b w:val="0"/>
                <w:bCs/>
                <w:color w:val="000000" w:themeColor="text1"/>
                <w:kern w:val="0"/>
                <w:sz w:val="24"/>
                <w:szCs w:val="24"/>
                <w14:textFill>
                  <w14:solidFill>
                    <w14:schemeClr w14:val="tx1"/>
                  </w14:solidFill>
                </w14:textFill>
              </w:rPr>
              <w:t>增值税税金=投标总价（含税总价）-（含税总价/(1+增值税税率)）</w:t>
            </w:r>
          </w:p>
        </w:tc>
      </w:tr>
    </w:tbl>
    <w:p>
      <w:pPr>
        <w:keepNext w:val="0"/>
        <w:keepLines w:val="0"/>
        <w:pageBreakBefore w:val="0"/>
        <w:widowControl/>
        <w:numPr>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lang w:val="en-US" w:eastAsia="zh-CN" w:bidi="ar-SA"/>
        </w:rPr>
        <w:t>（1）</w:t>
      </w:r>
      <w:r>
        <w:rPr>
          <w:rFonts w:hint="eastAsia" w:ascii="仿宋" w:hAnsi="仿宋" w:eastAsia="仿宋" w:cs="仿宋"/>
          <w:bCs/>
          <w:color w:val="auto"/>
          <w:sz w:val="24"/>
          <w:szCs w:val="24"/>
          <w:highlight w:val="none"/>
        </w:rPr>
        <w:t>以上报价为本投标人在公告要求期限内完成约定的全部工作的总费用。</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default"/>
          <w:lang w:val="en-US" w:eastAsia="zh-CN"/>
        </w:rPr>
      </w:pPr>
      <w:r>
        <w:rPr>
          <w:rFonts w:hint="eastAsia" w:ascii="仿宋" w:hAnsi="仿宋" w:eastAsia="仿宋" w:cs="仿宋"/>
          <w:bCs/>
          <w:color w:val="auto"/>
          <w:kern w:val="2"/>
          <w:sz w:val="24"/>
          <w:szCs w:val="24"/>
          <w:lang w:val="en-US" w:eastAsia="zh-CN" w:bidi="ar-SA"/>
        </w:rPr>
        <w:t>（2）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lang w:val="en-US" w:eastAsia="zh-CN" w:bidi="ar-SA"/>
        </w:rPr>
        <w:t>（3）若国家政策导致增值税率发生变化的，不含税价款保持不变，合同未执行部分</w:t>
      </w:r>
      <w:r>
        <w:rPr>
          <w:rFonts w:hint="eastAsia" w:ascii="仿宋" w:hAnsi="仿宋" w:eastAsia="仿宋" w:cs="仿宋"/>
          <w:bCs/>
          <w:color w:val="auto"/>
          <w:sz w:val="24"/>
          <w:szCs w:val="24"/>
          <w:highlight w:val="none"/>
        </w:rPr>
        <w:t>含税价按变化后的税率执行。</w:t>
      </w:r>
    </w:p>
    <w:p>
      <w:pPr>
        <w:keepNext w:val="0"/>
        <w:keepLines w:val="0"/>
        <w:pageBreakBefore w:val="0"/>
        <w:widowControl/>
        <w:numPr>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）净下浮率=1-（投标总价-暂列金额）/(招标控制价-暂列金额）。</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投标分项报价表</w:t>
      </w:r>
    </w:p>
    <w:p>
      <w:pP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投标人按招标文件附件《时尚艺术大厦项目标识供货及安装工程招标清单》进行报价，并将报价清单粘贴在此处。</w:t>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pPr>
        <w:adjustRightInd w:val="0"/>
        <w:snapToGrid w:val="0"/>
        <w:spacing w:line="360" w:lineRule="auto"/>
        <w:rPr>
          <w:rFonts w:hint="eastAsia" w:ascii="仿宋" w:hAnsi="仿宋" w:eastAsia="仿宋" w:cs="仿宋"/>
          <w:bCs/>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10"/>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深圳市龙华建设发展集团有限公司</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为了确保本项目工作顺利进行，我方将严格执行招标投标管理的法律法规，并完全接受</w:t>
      </w:r>
      <w:r>
        <w:rPr>
          <w:rFonts w:hint="eastAsia" w:ascii="仿宋" w:hAnsi="仿宋" w:eastAsia="仿宋" w:cs="仿宋"/>
          <w:color w:val="auto"/>
          <w:sz w:val="24"/>
          <w:szCs w:val="24"/>
          <w:highlight w:val="none"/>
          <w:u w:val="single"/>
          <w:lang w:val="en-US" w:eastAsia="zh-CN"/>
        </w:rPr>
        <w:t xml:space="preserve"> 时尚艺术大厦项目标识供货及安装工程 </w:t>
      </w:r>
      <w:r>
        <w:rPr>
          <w:rFonts w:hint="eastAsia" w:ascii="仿宋" w:hAnsi="仿宋" w:eastAsia="仿宋" w:cs="仿宋"/>
          <w:bCs/>
          <w:color w:val="auto"/>
          <w:sz w:val="24"/>
          <w:szCs w:val="24"/>
          <w:highlight w:val="none"/>
        </w:rPr>
        <w:t>公告的所有内容及要求，为此作出如下承诺：</w:t>
      </w:r>
    </w:p>
    <w:p>
      <w:pPr>
        <w:pStyle w:val="1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1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1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1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1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1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1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1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业绩一览表</w:t>
      </w:r>
    </w:p>
    <w:tbl>
      <w:tblPr>
        <w:tblStyle w:val="13"/>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项目</w:t>
            </w:r>
            <w:r>
              <w:rPr>
                <w:rFonts w:hint="eastAsia" w:ascii="仿宋" w:hAnsi="仿宋" w:eastAsia="仿宋" w:cs="仿宋"/>
                <w:b w:val="0"/>
                <w:bCs/>
                <w:color w:val="auto"/>
                <w:sz w:val="24"/>
                <w:szCs w:val="24"/>
                <w:highlight w:val="none"/>
              </w:rPr>
              <w:t>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r>
    </w:tbl>
    <w:p>
      <w:pPr>
        <w:adjustRightInd w:val="0"/>
        <w:snapToGrid/>
        <w:spacing w:before="157" w:beforeLines="50" w:after="0" w:line="360" w:lineRule="auto"/>
        <w:ind w:firstLine="0" w:firstLineChars="0"/>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after="0"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对应的合同额、</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内容、签订时间等主要信息进行标记，以便招标人审核。同时需提供开具至</w:t>
      </w:r>
      <w:r>
        <w:rPr>
          <w:rFonts w:hint="eastAsia" w:ascii="仿宋" w:hAnsi="仿宋" w:eastAsia="仿宋" w:cs="仿宋"/>
          <w:color w:val="auto"/>
          <w:sz w:val="24"/>
          <w:szCs w:val="24"/>
          <w:highlight w:val="none"/>
          <w:lang w:val="en-US" w:eastAsia="zh-CN"/>
        </w:rPr>
        <w:t>对应</w:t>
      </w:r>
      <w:r>
        <w:rPr>
          <w:rFonts w:hint="eastAsia" w:ascii="仿宋" w:hAnsi="仿宋" w:eastAsia="仿宋" w:cs="仿宋"/>
          <w:color w:val="auto"/>
          <w:sz w:val="24"/>
          <w:szCs w:val="24"/>
          <w:highlight w:val="none"/>
        </w:rPr>
        <w:t>合同金额60%的供货安装发票</w:t>
      </w:r>
      <w:r>
        <w:rPr>
          <w:rFonts w:hint="eastAsia" w:ascii="仿宋" w:hAnsi="仿宋" w:eastAsia="仿宋" w:cs="仿宋"/>
          <w:color w:val="auto"/>
          <w:sz w:val="24"/>
          <w:szCs w:val="24"/>
          <w:highlight w:val="none"/>
          <w:lang w:val="en-US" w:eastAsia="zh-CN"/>
        </w:rPr>
        <w:t>复印</w:t>
      </w:r>
      <w:r>
        <w:rPr>
          <w:rFonts w:hint="eastAsia" w:ascii="仿宋" w:hAnsi="仿宋" w:eastAsia="仿宋" w:cs="仿宋"/>
          <w:color w:val="auto"/>
          <w:sz w:val="24"/>
          <w:szCs w:val="24"/>
          <w:highlight w:val="none"/>
        </w:rPr>
        <w:t>件</w:t>
      </w:r>
      <w:r>
        <w:rPr>
          <w:rFonts w:hint="eastAsia" w:ascii="仿宋" w:hAnsi="仿宋" w:eastAsia="仿宋" w:cs="仿宋"/>
          <w:color w:val="auto"/>
          <w:sz w:val="24"/>
          <w:szCs w:val="24"/>
          <w:highlight w:val="none"/>
          <w:lang w:val="en-US" w:eastAsia="zh-CN"/>
        </w:rPr>
        <w:t>盖公章</w:t>
      </w:r>
      <w:r>
        <w:rPr>
          <w:rFonts w:hint="eastAsia" w:ascii="仿宋" w:hAnsi="仿宋" w:eastAsia="仿宋" w:cs="仿宋"/>
          <w:color w:val="auto"/>
          <w:sz w:val="24"/>
          <w:szCs w:val="24"/>
          <w:highlight w:val="none"/>
        </w:rPr>
        <w:t>（供货发票须体现投标人单位名称，发票需另提供国家税务局查询证明截图）</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after="0" w:line="24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招标人认可的五星酒店品牌包括：</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a、洲际酒店集团：洲际、英迪格、华邑、皇冠假日、金普顿；</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b、万豪国际集团：万豪、JW 万豪、丽思-卡尔顿, 威斯汀、W、豪华精选、瑞吉、艾美、喜来登、宝格丽；</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c、凯悦集团：凯悦、君悦、柏悦、安达仕；</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d、希尔顿：Hilton、康莱德、华尔道夫、嘉悦里；</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e、雅高：索菲特、费尔蒙、莱佛士、美憬阁；</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f、悦榕：悦榕庄、悦椿；</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g、朗廷酒店集团：朗廷、朗豪；</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h、卡尔森环球酒店：丽晶、丽笙；</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i、美利亚酒店集团：盛美利亚、美利亚；</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j、温德姆集团：温德姆至尊；</w:t>
      </w:r>
    </w:p>
    <w:p>
      <w:pPr>
        <w:keepNext w:val="0"/>
        <w:keepLines w:val="0"/>
        <w:pageBreakBefore w:val="0"/>
        <w:widowControl w:val="0"/>
        <w:kinsoku/>
        <w:wordWrap/>
        <w:overflowPunct/>
        <w:topLinePunct w:val="0"/>
        <w:autoSpaceDE/>
        <w:autoSpaceDN/>
        <w:bidi w:val="0"/>
        <w:adjustRightInd w:val="0"/>
        <w:snapToGrid/>
        <w:spacing w:after="0" w:line="240" w:lineRule="auto"/>
        <w:ind w:leftChars="10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k、独立酒店品牌：四季、香格里拉、凯宾斯基、安缦、文华东方、雅辰、半岛、瑰丽。</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设备</w:t>
      </w:r>
      <w:r>
        <w:rPr>
          <w:rFonts w:hint="eastAsia" w:ascii="仿宋" w:hAnsi="仿宋" w:eastAsia="仿宋" w:cs="仿宋"/>
          <w:b/>
          <w:color w:val="auto"/>
          <w:sz w:val="28"/>
          <w:szCs w:val="28"/>
          <w:highlight w:val="none"/>
        </w:rPr>
        <w:t>一览表</w:t>
      </w:r>
    </w:p>
    <w:tbl>
      <w:tblPr>
        <w:tblStyle w:val="13"/>
        <w:tblW w:w="890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96"/>
        <w:gridCol w:w="3306"/>
        <w:gridCol w:w="33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序号</w:t>
            </w:r>
          </w:p>
        </w:tc>
        <w:tc>
          <w:tcPr>
            <w:tcW w:w="3306" w:type="dxa"/>
            <w:tcBorders>
              <w:tl2br w:val="nil"/>
              <w:tr2bl w:val="nil"/>
            </w:tcBorders>
            <w:vAlign w:val="center"/>
          </w:tcPr>
          <w:p>
            <w:pPr>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设备名称</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是否有，如有请打“✔”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光纤激光切割机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bookmarkStart w:id="2" w:name="_GoBack"/>
            <w:bookmarkEnd w:id="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开槽机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雕刻机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气动砂纸机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火焰抛光机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广告字激光焊接机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ind w:left="57" w:right="57" w:firstLine="5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干燥机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ind w:left="57" w:right="57" w:firstLine="5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角磨机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ind w:left="57" w:right="57" w:firstLine="5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空压机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4" w:hRule="atLeast"/>
          <w:tblCellSpacing w:w="0" w:type="dxa"/>
          <w:jc w:val="center"/>
        </w:trPr>
        <w:tc>
          <w:tcPr>
            <w:tcW w:w="2296" w:type="dxa"/>
            <w:tcBorders>
              <w:tl2br w:val="nil"/>
              <w:tr2bl w:val="nil"/>
            </w:tcBorders>
            <w:vAlign w:val="center"/>
          </w:tcPr>
          <w:p>
            <w:pPr>
              <w:ind w:left="57" w:right="57" w:firstLine="57"/>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氩弧焊机</w:t>
            </w:r>
          </w:p>
        </w:tc>
        <w:tc>
          <w:tcPr>
            <w:tcW w:w="3306"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line="360" w:lineRule="auto"/>
        <w:jc w:val="both"/>
        <w:rPr>
          <w:rFonts w:hint="eastAsia" w:ascii="仿宋" w:hAnsi="仿宋" w:eastAsia="仿宋" w:cs="仿宋"/>
          <w:b/>
          <w:color w:val="auto"/>
          <w:sz w:val="28"/>
          <w:szCs w:val="28"/>
          <w:highlight w:val="none"/>
        </w:rPr>
      </w:pPr>
    </w:p>
    <w:p>
      <w:pPr>
        <w:adjustRightInd w:val="0"/>
        <w:snapToGrid w:val="0"/>
        <w:spacing w:beforeLines="50" w:after="160" w:line="360" w:lineRule="auto"/>
        <w:rPr>
          <w:rFonts w:hint="default"/>
          <w:lang w:val="en-US" w:eastAsia="zh-CN"/>
        </w:rPr>
      </w:pPr>
      <w:r>
        <w:rPr>
          <w:rFonts w:hint="eastAsia" w:ascii="仿宋" w:hAnsi="仿宋" w:eastAsia="仿宋" w:cs="仿宋"/>
          <w:color w:val="auto"/>
          <w:sz w:val="24"/>
          <w:szCs w:val="24"/>
          <w:highlight w:val="none"/>
        </w:rPr>
        <w:t>注：上述设备需提供购买设备发票（发票需另提供国家税务局查询证明截图）和现场设备照片。</w:t>
      </w:r>
      <w:bookmarkEnd w:id="0"/>
      <w:bookmarkEnd w:id="1"/>
    </w:p>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1A41A98"/>
    <w:rsid w:val="039C2053"/>
    <w:rsid w:val="042D158D"/>
    <w:rsid w:val="04E06965"/>
    <w:rsid w:val="0B2B2741"/>
    <w:rsid w:val="0E894879"/>
    <w:rsid w:val="135678EB"/>
    <w:rsid w:val="137E32EB"/>
    <w:rsid w:val="143B4971"/>
    <w:rsid w:val="16B42882"/>
    <w:rsid w:val="171056A3"/>
    <w:rsid w:val="18893450"/>
    <w:rsid w:val="1F8E7E31"/>
    <w:rsid w:val="21F433CC"/>
    <w:rsid w:val="24B70CBB"/>
    <w:rsid w:val="25CD7E3F"/>
    <w:rsid w:val="27BD652A"/>
    <w:rsid w:val="2847702A"/>
    <w:rsid w:val="29304E64"/>
    <w:rsid w:val="294544BB"/>
    <w:rsid w:val="2F9C3726"/>
    <w:rsid w:val="306A4EEC"/>
    <w:rsid w:val="321049D0"/>
    <w:rsid w:val="32B00E4D"/>
    <w:rsid w:val="33BF02E8"/>
    <w:rsid w:val="3444618C"/>
    <w:rsid w:val="396C61CD"/>
    <w:rsid w:val="3A3E4582"/>
    <w:rsid w:val="3A4F7256"/>
    <w:rsid w:val="3C680E8A"/>
    <w:rsid w:val="3D3171E8"/>
    <w:rsid w:val="42E53259"/>
    <w:rsid w:val="43FB5E70"/>
    <w:rsid w:val="468F4DC7"/>
    <w:rsid w:val="498E7188"/>
    <w:rsid w:val="49AB55A6"/>
    <w:rsid w:val="4B646EED"/>
    <w:rsid w:val="50317CDC"/>
    <w:rsid w:val="56CB2B66"/>
    <w:rsid w:val="5AF83711"/>
    <w:rsid w:val="5BB04C2C"/>
    <w:rsid w:val="5BF14D74"/>
    <w:rsid w:val="6140578B"/>
    <w:rsid w:val="62141106"/>
    <w:rsid w:val="684E0792"/>
    <w:rsid w:val="68610DE6"/>
    <w:rsid w:val="6A7177BA"/>
    <w:rsid w:val="6B5477F9"/>
    <w:rsid w:val="6E2E2151"/>
    <w:rsid w:val="75D37152"/>
    <w:rsid w:val="777D7FD8"/>
    <w:rsid w:val="7A0A79F9"/>
    <w:rsid w:val="7A6207C4"/>
    <w:rsid w:val="7B746AC1"/>
    <w:rsid w:val="7C37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pPr>
  </w:style>
  <w:style w:type="paragraph" w:styleId="3">
    <w:name w:val="Body Text Indent"/>
    <w:basedOn w:val="1"/>
    <w:next w:val="4"/>
    <w:autoRedefine/>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9"/>
    <w:autoRedefine/>
    <w:qFormat/>
    <w:uiPriority w:val="1"/>
    <w:pPr>
      <w:ind w:left="779" w:firstLine="641"/>
      <w:jc w:val="left"/>
    </w:pPr>
    <w:rPr>
      <w:rFonts w:ascii="宋体" w:hAnsi="宋体"/>
      <w:kern w:val="0"/>
      <w:sz w:val="32"/>
      <w:szCs w:val="32"/>
      <w:lang w:eastAsia="en-US"/>
    </w:rPr>
  </w:style>
  <w:style w:type="paragraph" w:styleId="9">
    <w:name w:val="Body Text 2"/>
    <w:basedOn w:val="1"/>
    <w:qFormat/>
    <w:uiPriority w:val="0"/>
    <w:pPr>
      <w:jc w:val="left"/>
    </w:pPr>
    <w:rPr>
      <w:rFonts w:ascii="楷体_GB2312" w:hAnsi="宋体" w:eastAsia="楷体_GB2312"/>
      <w:color w:val="000000"/>
      <w:kern w:val="0"/>
      <w:szCs w:val="21"/>
    </w:rPr>
  </w:style>
  <w:style w:type="paragraph" w:styleId="10">
    <w:name w:val="Plain Text"/>
    <w:basedOn w:val="1"/>
    <w:autoRedefine/>
    <w:qFormat/>
    <w:uiPriority w:val="0"/>
    <w:rPr>
      <w:rFonts w:hAnsi="Courier New" w:cs="Courier New"/>
      <w:szCs w:val="21"/>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Normal (Web)"/>
    <w:basedOn w:val="1"/>
    <w:autoRedefine/>
    <w:unhideWhenUsed/>
    <w:qFormat/>
    <w:uiPriority w:val="99"/>
    <w:pPr>
      <w:jc w:val="left"/>
    </w:pPr>
    <w:rPr>
      <w:rFonts w:ascii="Times New Roman" w:hAnsi="Times New Roman"/>
      <w:kern w:val="0"/>
      <w:sz w:val="24"/>
      <w:szCs w:val="20"/>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0"/>
    <w:rPr>
      <w:color w:val="0000FF"/>
      <w:u w:val="single"/>
    </w:rPr>
  </w:style>
  <w:style w:type="paragraph" w:customStyle="1" w:styleId="17">
    <w:name w:val="列出段落1"/>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高于堡</cp:lastModifiedBy>
  <dcterms:modified xsi:type="dcterms:W3CDTF">2024-01-31T09:01:15Z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CF834F5FA2B9441EA2356E7AD013DE0A_13</vt:lpwstr>
  </property>
</Properties>
</file>