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造价咨询业绩（同类工程业绩指：管线迁改工程造价咨询），且金额大于本项目招标控制价1/2为有效业绩。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至少需配置</w:t>
            </w:r>
            <w:r>
              <w:rPr>
                <w:rFonts w:hint="eastAsia" w:ascii="仿宋" w:hAnsi="仿宋" w:eastAsia="仿宋" w:cs="仿宋"/>
                <w:color w:val="auto"/>
                <w:sz w:val="28"/>
                <w:szCs w:val="24"/>
                <w:highlight w:val="none"/>
                <w:lang w:val="en-US" w:eastAsia="zh-CN"/>
              </w:rPr>
              <w:t>土建专业负责人、安装专业负责人</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val="en-US" w:eastAsia="zh-CN"/>
              </w:rPr>
              <w:t>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一级注册</w:t>
            </w:r>
            <w:r>
              <w:rPr>
                <w:rFonts w:hint="eastAsia" w:ascii="仿宋" w:hAnsi="仿宋" w:eastAsia="仿宋" w:cs="仿宋"/>
                <w:color w:val="auto"/>
                <w:sz w:val="28"/>
                <w:szCs w:val="24"/>
                <w:highlight w:val="none"/>
                <w:lang w:val="en-US" w:eastAsia="zh-CN"/>
              </w:rPr>
              <w:t>造价工程师注册证等）及所</w:t>
            </w:r>
            <w:r>
              <w:rPr>
                <w:rFonts w:hint="eastAsia" w:ascii="仿宋" w:hAnsi="仿宋" w:eastAsia="仿宋" w:cs="仿宋"/>
                <w:color w:val="auto"/>
                <w:sz w:val="28"/>
                <w:szCs w:val="24"/>
                <w:highlight w:val="none"/>
              </w:rPr>
              <w:t>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服务方案：</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投标人针对本项目服务方案进行简要阐述，至少包含：项目重难点分析，概算审核、预算编（审）控制方案，项目实施阶段造价控制方案，结算审核控制方案等。</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2203"/>
        <w:gridCol w:w="1595"/>
        <w:gridCol w:w="1514"/>
        <w:gridCol w:w="1254"/>
        <w:gridCol w:w="1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03"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暂定建安费</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w:t>
            </w:r>
          </w:p>
        </w:tc>
        <w:tc>
          <w:tcPr>
            <w:tcW w:w="15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bookmarkStart w:id="2" w:name="_GoBack"/>
            <w:bookmarkEnd w:id="2"/>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清湖工业园城市更新项目管线迁改（造价咨询）</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2474.86万元</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sz w:val="24"/>
                <w:szCs w:val="24"/>
                <w:lang w:val="en-US" w:eastAsia="zh-CN"/>
              </w:rPr>
              <w:t>238</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737</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0</w:t>
            </w:r>
          </w:p>
        </w:tc>
        <w:tc>
          <w:tcPr>
            <w:tcW w:w="1254" w:type="dxa"/>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573"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2973"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w:t>
            </w:r>
          </w:p>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tc>
        <w:tc>
          <w:tcPr>
            <w:tcW w:w="5936" w:type="dxa"/>
            <w:gridSpan w:val="4"/>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137E32EB"/>
    <w:rsid w:val="21F433CC"/>
    <w:rsid w:val="2EE8169C"/>
    <w:rsid w:val="2F9C3726"/>
    <w:rsid w:val="33BF02E8"/>
    <w:rsid w:val="3444618C"/>
    <w:rsid w:val="498E7188"/>
    <w:rsid w:val="50317CDC"/>
    <w:rsid w:val="56CB2B66"/>
    <w:rsid w:val="5BF14D74"/>
    <w:rsid w:val="5CFF158E"/>
    <w:rsid w:val="6140578B"/>
    <w:rsid w:val="6CB44990"/>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2023-08-10T07:00:20Z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D2ECBC0DEB7F4DDFB9C9DE2157616C05_12</vt:lpwstr>
  </property>
</Properties>
</file>