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2200" w:firstLineChars="500"/>
        <w:jc w:val="both"/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val="en-US" w:eastAsia="zh-CN"/>
        </w:rPr>
        <w:t>响应文件要求一览表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b w:val="0"/>
          <w:color w:val="auto"/>
          <w:sz w:val="44"/>
          <w:szCs w:val="44"/>
        </w:rPr>
      </w:pPr>
    </w:p>
    <w:tbl>
      <w:tblPr>
        <w:tblStyle w:val="8"/>
        <w:tblW w:w="9495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0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2"/>
                <w:sz w:val="24"/>
                <w:szCs w:val="24"/>
              </w:rPr>
              <w:t>项目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2"/>
                <w:sz w:val="24"/>
                <w:szCs w:val="24"/>
              </w:rPr>
              <w:t>内容摘要说明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车辆设备涂装招标采购项目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项目概况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452"/>
                <w:tab w:val="left" w:pos="8820"/>
                <w:tab w:val="left" w:pos="9240"/>
              </w:tabs>
              <w:spacing w:line="579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深圳市龙华环境有限公司（以下简称环境公司）主要经营城市道路清扫、保洁、垃圾收集分类、运输、处理及固体废物的治理；绿地养护、污水处理、环境监测及治理等环卫业务。根据深圳市城市管理和综合执法局2022年11月1日下发《关于开展清洁能源生活垃圾转运车外观喷涂更新工作的通知》和2022年11月28日下发《关于清洁能源环卫作业车辆外观喷涂全面更新工作的通知》的文件精神，环境公司拟为符合文件要求的车辆进行喷涂，其中低压清洗车10辆、高压清洗车10辆、路面养护车12辆、洗扫车14辆、扫地车10辆、桶装运输车28辆、压缩车2辆，共计86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招标内容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1. 在深圳市龙华建设发展集团有限公司官网上挂网招标，根据车辆喷涂情况及车辆开展业务要求，确定1家满足条件的喷涂公司负责深圳市龙华环境有限公司86辆车辆进行喷涂更新项目。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2.招标完成后，与中标单位签订喷涂服务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/>
              </w:rPr>
              <w:t>合同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，2023年1月31号前完成50%，3月31号完成100%，中标人实际完成时间按合同要求履约。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计价方式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据实结算，但支付总价不高于合同价。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招标控制价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招标控制价为489100元。总价超出投标控制价将导致投标无效。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招标方式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5" w:lineRule="atLeas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公开招标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深圳市龙华建设发展集团有限公司采购平台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资格审查方式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 xml:space="preserve">投标报名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 xml:space="preserve">资格预审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投标人资格要求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1.投标人必须为深圳市喷涂维修服务类合法注册公司，具有独立法人；需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《营业执照》复印件、《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维修资质证明文件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》复印件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等。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2.同一维修服务公司总公司只能有一家分支机构参与投标，且总公司不能与下属的分支机构同时参与投标。                                                                     3.本项目不接受联合体投标，不接受转包分包。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资格后审方式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/>
              <w:spacing w:line="15" w:lineRule="atLeas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组建评审委员会对投标单位按照《资格审查表》和《符合性审查表》部分进行审查，评审委员会对投标单位打√为通过审查，打×为未通过审查。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评定标方式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评标方法为综合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投标担保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履约担保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合同款支付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合同签订生效后，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按中国相关法律法规、公司车辆实际喷涂数量实际费用计费，按合同约定等进行支付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评标细则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>
            <w:pPr>
              <w:spacing w:line="15" w:lineRule="atLeas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</w:rPr>
              <w:t>详见下表（评分细则）</w:t>
            </w:r>
          </w:p>
        </w:tc>
      </w:tr>
    </w:tbl>
    <w:p>
      <w:pPr>
        <w:rPr>
          <w:color w:val="auto"/>
          <w:kern w:val="2"/>
        </w:rPr>
      </w:pPr>
    </w:p>
    <w:tbl>
      <w:tblPr>
        <w:tblStyle w:val="8"/>
        <w:tblpPr w:leftFromText="180" w:rightFromText="180" w:vertAnchor="text" w:horzAnchor="page" w:tblpX="1566" w:tblpY="301"/>
        <w:tblOverlap w:val="never"/>
        <w:tblW w:w="9519" w:type="dxa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404"/>
        <w:gridCol w:w="757"/>
        <w:gridCol w:w="5035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</w:trPr>
        <w:tc>
          <w:tcPr>
            <w:tcW w:w="7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  <w:lang w:val="zh-CN"/>
              </w:rPr>
              <w:t>评分项及评分规则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  <w:lang w:val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CellSpacing w:w="0" w:type="dxa"/>
        </w:trPr>
        <w:tc>
          <w:tcPr>
            <w:tcW w:w="7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  <w:lang w:val="zh-CN"/>
              </w:rPr>
              <w:t>一、价格部分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tblCellSpacing w:w="0" w:type="dxa"/>
        </w:trPr>
        <w:tc>
          <w:tcPr>
            <w:tcW w:w="77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采用低价优先法计算,即满足招标文件要求且投标价格最低的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投标报价为评标基准价,其价格分为满分。其他投标人的价格分统一按照下列公式计算：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价格分=[1-（投标报价-最低价）/最低价]×价格权重×100，当价格分＜0 时，取 0。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按公式计算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CellSpacing w:w="0" w:type="dxa"/>
        </w:trPr>
        <w:tc>
          <w:tcPr>
            <w:tcW w:w="7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  <w:lang w:val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  <w:lang w:val="zh-CN"/>
              </w:rPr>
              <w:t>部分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65分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CellSpacing w:w="0" w:type="dxa"/>
        </w:trPr>
        <w:tc>
          <w:tcPr>
            <w:tcW w:w="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内容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权重</w:t>
            </w:r>
          </w:p>
        </w:tc>
        <w:tc>
          <w:tcPr>
            <w:tcW w:w="5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评分规则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tblCellSpacing w:w="0" w:type="dxa"/>
        </w:trPr>
        <w:tc>
          <w:tcPr>
            <w:tcW w:w="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经营规模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3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（一）评审内容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考察投标人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规模情况，分档评分。</w:t>
            </w:r>
          </w:p>
          <w:p>
            <w:pPr>
              <w:spacing w:line="360" w:lineRule="auto"/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1.“202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-2022年度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营业额每年都在＞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500万元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”的，得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分；</w:t>
            </w:r>
          </w:p>
          <w:p>
            <w:pPr>
              <w:spacing w:line="360" w:lineRule="auto"/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2.“202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-2022年度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营业额每年都在：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200万元≤营业额≤500万元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分；</w:t>
            </w:r>
          </w:p>
          <w:p>
            <w:pPr>
              <w:spacing w:line="360" w:lineRule="auto"/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3.“202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-2022年度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营业额每年都在：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200万以下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（二）评分依据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投标人须提供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公司流水及税收等带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公章的证明文件。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tblCellSpacing w:w="0" w:type="dxa"/>
        </w:trPr>
        <w:tc>
          <w:tcPr>
            <w:tcW w:w="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企业负责人资质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3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（一）评审内容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根据投标人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企业负责人安全资质证书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负责人个人征信、高级职业资格证书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1.企业安全生产主要负责人证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分；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2.高级职业资格证书，得3分；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3.负责人诚信企业家，得2分；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4.负责人有大专及以上学历，得2分。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（二）评分依据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投标人须提供上述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要求的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证明文件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（国家、省、市主管部门颁发的证书。行业组织等机构颁发的证书不作为有效证明材料），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加盖公章，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未提供或提供不清晰导致无法判断的不得分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累计共10分。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tblCellSpacing w:w="0" w:type="dxa"/>
        </w:trPr>
        <w:tc>
          <w:tcPr>
            <w:tcW w:w="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喷涂案例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35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（一）评审内容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考察投标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人公司20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年以来喷涂实际案例，分档评分。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1.有国有企业和政府相关单位维修喷涂案例：3例及以上，得15分；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2.有国有企业和政府相关单位维修喷涂案例：2例，得12分；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3.有国有企业和政府相关单位维修喷涂案例：1例，得6分；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4.其余不得分。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（二）评分依据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投标人须提供合同证明文件，加盖投标人公章。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tblCellSpacing w:w="0" w:type="dxa"/>
        </w:trPr>
        <w:tc>
          <w:tcPr>
            <w:tcW w:w="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经营场地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35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（一）评审内容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考察投标人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经营场地面积。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1.经营场地面积≥2000平方米，得15分；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2.500平方米≤经营面积＜2000平方米，得10分；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3.经营面积＜500平方米的，得5分。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（二）评分依据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投标人须提供公司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经营场地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证明文件扫描件（原件备查），加盖公章。未提供证明资料或专家无法凭所提供资料判断是否得分的情况，一律做不得分处理。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tblCellSpacing w:w="0" w:type="dxa"/>
        </w:trPr>
        <w:tc>
          <w:tcPr>
            <w:tcW w:w="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服务便利性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35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（一）评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内容：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根据投标人在深圳市龙华区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大浪街道范围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以华富工业园为中心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除不可抗拒因素外，接到电话后能够在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分钟内到达招标人处协助人解决问题，得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分；除不可抗拒因素外，接到电话后能够在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11-20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分钟内到达招标人处协助人解决问题，得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分；除不可抗拒因素外，接到电话后能够在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21分钟内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到达招标人处协助人解决问题，得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分。其他情况或无响应，得0分。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（二）评分依据：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提供相关证明材料（须提供经营场所地址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定位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龙华环境有限公司华富项目部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的地图导航截图，截图需显示到达时间及公里数，如未按要求提供证明材料，或所提供的证明材未能体现上述评分内容的，视为该证明材料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效。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CellSpacing w:w="0" w:type="dxa"/>
        </w:trPr>
        <w:tc>
          <w:tcPr>
            <w:tcW w:w="7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  <w:lang w:val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  <w:lang w:val="zh-CN"/>
              </w:rPr>
              <w:t>部分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tblCellSpacing w:w="0" w:type="dxa"/>
        </w:trPr>
        <w:tc>
          <w:tcPr>
            <w:tcW w:w="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总体服务方案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3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（一）评审内容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投标人对本项目提出的总体服务方案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包含如下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1.时间节点及工作任务安排合理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2.喷绘方案的完整性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3.质量控制方案合理全面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4.应急预案和安全措施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（二）评分依据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投标人须提供以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上方案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资料，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满足一项得5分，累计共20分。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CellSpacing w:w="0" w:type="dxa"/>
        </w:trPr>
        <w:tc>
          <w:tcPr>
            <w:tcW w:w="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</w:rPr>
              <w:t>评价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投标人须提供企业征信有效证明材料，有得5分，无0分。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4"/>
                <w:szCs w:val="24"/>
                <w:lang w:val="zh-CN"/>
              </w:rPr>
              <w:t>评委打分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mU4NmVjNDM1NzQ2NzcxNDQ1ZTY0YzEyZjE1ZjkifQ=="/>
    <w:docVar w:name="KSO_WPS_MARK_KEY" w:val="0db50913-4cc0-4f5c-a909-c59f76bff19c"/>
  </w:docVars>
  <w:rsids>
    <w:rsidRoot w:val="00000000"/>
    <w:rsid w:val="005F5904"/>
    <w:rsid w:val="019C37AB"/>
    <w:rsid w:val="01E96C2E"/>
    <w:rsid w:val="03376076"/>
    <w:rsid w:val="03E62402"/>
    <w:rsid w:val="04230CF2"/>
    <w:rsid w:val="05197D6A"/>
    <w:rsid w:val="054F7546"/>
    <w:rsid w:val="06B6300F"/>
    <w:rsid w:val="0A78795E"/>
    <w:rsid w:val="0ABD2EA9"/>
    <w:rsid w:val="0C4B6E38"/>
    <w:rsid w:val="0D525E6F"/>
    <w:rsid w:val="0D98735D"/>
    <w:rsid w:val="0E3521DC"/>
    <w:rsid w:val="0F4117CC"/>
    <w:rsid w:val="111772D2"/>
    <w:rsid w:val="12413F80"/>
    <w:rsid w:val="124C454F"/>
    <w:rsid w:val="1296148B"/>
    <w:rsid w:val="138A1E15"/>
    <w:rsid w:val="14197409"/>
    <w:rsid w:val="149E726C"/>
    <w:rsid w:val="14A4376A"/>
    <w:rsid w:val="14BD76C0"/>
    <w:rsid w:val="14E23878"/>
    <w:rsid w:val="15DA15E8"/>
    <w:rsid w:val="16C8346F"/>
    <w:rsid w:val="16F96496"/>
    <w:rsid w:val="181C512B"/>
    <w:rsid w:val="18E53FBC"/>
    <w:rsid w:val="195C49A7"/>
    <w:rsid w:val="1A30258E"/>
    <w:rsid w:val="1B4C7DFF"/>
    <w:rsid w:val="1B707E81"/>
    <w:rsid w:val="1BE449C5"/>
    <w:rsid w:val="1C9A5DF9"/>
    <w:rsid w:val="1D857414"/>
    <w:rsid w:val="1E0850D6"/>
    <w:rsid w:val="1E64416A"/>
    <w:rsid w:val="2049187B"/>
    <w:rsid w:val="20D0371B"/>
    <w:rsid w:val="269F14EC"/>
    <w:rsid w:val="2B3F6D00"/>
    <w:rsid w:val="2C1218DE"/>
    <w:rsid w:val="2CDB1327"/>
    <w:rsid w:val="2E2312BE"/>
    <w:rsid w:val="2E976A53"/>
    <w:rsid w:val="2FD652C1"/>
    <w:rsid w:val="308B35E4"/>
    <w:rsid w:val="309A3ADC"/>
    <w:rsid w:val="30FC77ED"/>
    <w:rsid w:val="31416065"/>
    <w:rsid w:val="33C76A50"/>
    <w:rsid w:val="33F42D4E"/>
    <w:rsid w:val="34DC75D1"/>
    <w:rsid w:val="35002E80"/>
    <w:rsid w:val="350F3F19"/>
    <w:rsid w:val="36525B04"/>
    <w:rsid w:val="36B443CF"/>
    <w:rsid w:val="38134100"/>
    <w:rsid w:val="384F6DEF"/>
    <w:rsid w:val="3B180FBF"/>
    <w:rsid w:val="3B89663D"/>
    <w:rsid w:val="3CD94326"/>
    <w:rsid w:val="3CF46EDE"/>
    <w:rsid w:val="3DE6611C"/>
    <w:rsid w:val="3E004AC7"/>
    <w:rsid w:val="3E430A34"/>
    <w:rsid w:val="3F4C6CE8"/>
    <w:rsid w:val="40253F3C"/>
    <w:rsid w:val="40D83EF0"/>
    <w:rsid w:val="41267FF3"/>
    <w:rsid w:val="4134460A"/>
    <w:rsid w:val="42A866EA"/>
    <w:rsid w:val="42BE5A9B"/>
    <w:rsid w:val="42EF5206"/>
    <w:rsid w:val="43671945"/>
    <w:rsid w:val="43DF5939"/>
    <w:rsid w:val="47DE6C76"/>
    <w:rsid w:val="48CC307C"/>
    <w:rsid w:val="49071275"/>
    <w:rsid w:val="493A685C"/>
    <w:rsid w:val="4B496C93"/>
    <w:rsid w:val="4CA6169E"/>
    <w:rsid w:val="4CD6771E"/>
    <w:rsid w:val="4E1649CE"/>
    <w:rsid w:val="4EC820CD"/>
    <w:rsid w:val="4F252466"/>
    <w:rsid w:val="4FA07BB2"/>
    <w:rsid w:val="50E817D4"/>
    <w:rsid w:val="518C3EDA"/>
    <w:rsid w:val="53083749"/>
    <w:rsid w:val="53383B95"/>
    <w:rsid w:val="54753EFC"/>
    <w:rsid w:val="5B747CD3"/>
    <w:rsid w:val="5CC07FB9"/>
    <w:rsid w:val="5E25629E"/>
    <w:rsid w:val="5F01496B"/>
    <w:rsid w:val="5FDF108A"/>
    <w:rsid w:val="60F5130F"/>
    <w:rsid w:val="60FB27B1"/>
    <w:rsid w:val="634E4F7A"/>
    <w:rsid w:val="640C0830"/>
    <w:rsid w:val="647E7622"/>
    <w:rsid w:val="663707F6"/>
    <w:rsid w:val="683B7691"/>
    <w:rsid w:val="694E0453"/>
    <w:rsid w:val="69DE332C"/>
    <w:rsid w:val="6A4454E8"/>
    <w:rsid w:val="6BC12577"/>
    <w:rsid w:val="6DEC1AE6"/>
    <w:rsid w:val="6ECF7B5A"/>
    <w:rsid w:val="6F734622"/>
    <w:rsid w:val="70EA114F"/>
    <w:rsid w:val="71DF7078"/>
    <w:rsid w:val="72E9674E"/>
    <w:rsid w:val="73FC77D8"/>
    <w:rsid w:val="75EC4704"/>
    <w:rsid w:val="75F72A95"/>
    <w:rsid w:val="76155FDD"/>
    <w:rsid w:val="787E073F"/>
    <w:rsid w:val="7B074386"/>
    <w:rsid w:val="7BD24E35"/>
    <w:rsid w:val="7C2C2059"/>
    <w:rsid w:val="7CE617A9"/>
    <w:rsid w:val="7DC6323C"/>
    <w:rsid w:val="7E7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paragraph" w:styleId="3">
    <w:name w:val="index 8"/>
    <w:basedOn w:val="1"/>
    <w:next w:val="1"/>
    <w:semiHidden/>
    <w:unhideWhenUsed/>
    <w:qFormat/>
    <w:uiPriority w:val="0"/>
    <w:pPr>
      <w:ind w:left="1400" w:leftChars="1400"/>
    </w:pPr>
  </w:style>
  <w:style w:type="paragraph" w:styleId="4">
    <w:name w:val="Body Text Indent"/>
    <w:basedOn w:val="1"/>
    <w:qFormat/>
    <w:uiPriority w:val="0"/>
    <w:pPr>
      <w:tabs>
        <w:tab w:val="left" w:pos="0"/>
      </w:tabs>
      <w:spacing w:line="420" w:lineRule="exact"/>
      <w:ind w:firstLine="525"/>
    </w:pPr>
    <w:rPr>
      <w:rFonts w:ascii="仿宋_GB2312" w:hAnsi="Times New Roman" w:eastAsia="仿宋_GB2312"/>
      <w:sz w:val="28"/>
      <w:szCs w:val="20"/>
    </w:rPr>
  </w:style>
  <w:style w:type="paragraph" w:styleId="5">
    <w:name w:val="Plain Text"/>
    <w:basedOn w:val="1"/>
    <w:next w:val="3"/>
    <w:unhideWhenUsed/>
    <w:qFormat/>
    <w:uiPriority w:val="0"/>
    <w:rPr>
      <w:rFonts w:ascii="宋体" w:hAnsi="Courier New" w:eastAsiaTheme="minorEastAsia" w:cstheme="minorBidi"/>
      <w:szCs w:val="21"/>
    </w:rPr>
  </w:style>
  <w:style w:type="paragraph" w:styleId="6">
    <w:name w:val="Normal (Web)"/>
    <w:basedOn w:val="1"/>
    <w:qFormat/>
    <w:uiPriority w:val="0"/>
    <w:pPr>
      <w:jc w:val="left"/>
    </w:pPr>
    <w:rPr>
      <w:rFonts w:ascii="Times New Roman" w:hAnsi="Times New Roman"/>
      <w:kern w:val="0"/>
      <w:sz w:val="24"/>
      <w:szCs w:val="20"/>
    </w:rPr>
  </w:style>
  <w:style w:type="paragraph" w:styleId="7">
    <w:name w:val="Body Text First Indent 2"/>
    <w:basedOn w:val="4"/>
    <w:qFormat/>
    <w:uiPriority w:val="0"/>
    <w:pPr>
      <w:spacing w:line="240" w:lineRule="auto"/>
      <w:ind w:left="420" w:leftChars="200" w:firstLine="420" w:firstLineChars="200"/>
    </w:pPr>
    <w:rPr>
      <w:sz w:val="21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样式 左侧:  0 厘米 悬挂缩进: 2.5 字符"/>
    <w:basedOn w:val="1"/>
    <w:qFormat/>
    <w:uiPriority w:val="0"/>
    <w:pPr>
      <w:ind w:left="525" w:hanging="525" w:hangingChars="25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2296</Words>
  <Characters>2441</Characters>
  <Lines>0</Lines>
  <Paragraphs>0</Paragraphs>
  <TotalTime>2</TotalTime>
  <ScaleCrop>false</ScaleCrop>
  <LinksUpToDate>false</LinksUpToDate>
  <CharactersWithSpaces>2536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2022-12-14T02:12:00Z</dcterms:created>
  <dc:creator>Administrator</dc:creator>
  <cp:lastModifiedBy>123</cp:lastModifiedBy>
  <cp:lastPrinted>2022-12-20T09:37:00Z</cp:lastPrinted>
  <dcterms:modified xsi:type="dcterms:W3CDTF">2023-01-04T01:18:25Z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02F08016C1C5453DA149BCB27BBFCD0C</vt:lpwstr>
  </property>
</Properties>
</file>