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9"/>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502"/>
        <w:gridCol w:w="5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380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512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380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512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512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项目业绩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5128" w:type="dxa"/>
            <w:shd w:val="clear" w:color="auto" w:fill="auto"/>
            <w:vAlign w:val="center"/>
          </w:tcPr>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3年（从截标之日倒算，以合同签订时间为准）完成的自认为最具代表性的同类项目业绩（同类项目业绩指：家具供应业绩），且金额大于本项目招标控制价1/2为有效业绩。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w:t>
            </w:r>
            <w:r>
              <w:rPr>
                <w:rFonts w:hint="eastAsia" w:ascii="仿宋" w:hAnsi="仿宋" w:eastAsia="仿宋" w:cs="仿宋"/>
                <w:color w:val="auto"/>
                <w:sz w:val="28"/>
                <w:szCs w:val="24"/>
                <w:highlight w:val="none"/>
                <w:lang w:val="en-US" w:eastAsia="zh-CN"/>
              </w:rPr>
              <w:t>项目</w:t>
            </w:r>
            <w:r>
              <w:rPr>
                <w:rFonts w:hint="default" w:ascii="仿宋" w:hAnsi="仿宋" w:eastAsia="仿宋" w:cs="仿宋"/>
                <w:color w:val="auto"/>
                <w:sz w:val="28"/>
                <w:szCs w:val="24"/>
                <w:highlight w:val="none"/>
                <w:lang w:val="en-US" w:eastAsia="zh-CN"/>
              </w:rPr>
              <w:t>内容、签订时间等主要信息；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认证情况</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投标人或所投家具类产品制造商具有有效期内的：</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1.中国环境标志产品认证证书，认证单元包括实木类家具、综合类木家具、人造板类家具、钢木家具、金属家具、软体家具，提供齐全；</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2.人类工效学产品认证证书，认证单元包括桌台类、柜架类、椅凳类、沙发类、床类，提供齐全；</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3.中国绿色产品认证证书，认证单元包括木类家具、金属家具、软体家具，提供齐全；</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4.低VOCs家具产品认证证书，认证单元包括木类家具、金属家具、软体家具，提供齐全；</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5.家具定制服务认证证书，组织的服务能力达到：GB/T 27922-2011《商品售后服务评价体系》、SB/T 10409-2007《商业服务业顾客满意度测评规范》及《家具定制服务评价体系》。</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格式详见“附件1.5”，</w:t>
            </w: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①</w:t>
            </w:r>
            <w:r>
              <w:rPr>
                <w:rFonts w:hint="default" w:ascii="仿宋" w:hAnsi="仿宋" w:eastAsia="仿宋" w:cs="仿宋"/>
                <w:color w:val="auto"/>
                <w:sz w:val="28"/>
                <w:szCs w:val="24"/>
                <w:highlight w:val="none"/>
                <w:lang w:val="en-US" w:eastAsia="zh-CN"/>
              </w:rPr>
              <w:t>投标人提供有效期内的体系认证证书扫描件</w:t>
            </w:r>
            <w:r>
              <w:rPr>
                <w:rFonts w:hint="eastAsia" w:ascii="仿宋" w:hAnsi="仿宋" w:eastAsia="仿宋" w:cs="仿宋"/>
                <w:color w:val="auto"/>
                <w:sz w:val="28"/>
                <w:szCs w:val="24"/>
                <w:highlight w:val="none"/>
                <w:lang w:val="en-US" w:eastAsia="zh-CN"/>
              </w:rPr>
              <w:t>；</w:t>
            </w:r>
          </w:p>
          <w:p>
            <w:pPr>
              <w:adjustRightInd w:val="0"/>
              <w:snapToGrid w:val="0"/>
              <w:spacing w:line="440" w:lineRule="exact"/>
              <w:jc w:val="left"/>
              <w:rPr>
                <w:rFonts w:hint="default"/>
                <w:lang w:val="en-US"/>
              </w:rPr>
            </w:pPr>
            <w:r>
              <w:rPr>
                <w:rFonts w:hint="eastAsia" w:ascii="仿宋" w:hAnsi="仿宋" w:eastAsia="仿宋" w:cs="仿宋"/>
                <w:color w:val="auto"/>
                <w:sz w:val="28"/>
                <w:szCs w:val="24"/>
                <w:highlight w:val="none"/>
                <w:lang w:val="en-US" w:eastAsia="zh-CN"/>
              </w:rPr>
              <w:t>②</w:t>
            </w:r>
            <w:r>
              <w:rPr>
                <w:rFonts w:hint="default" w:ascii="仿宋" w:hAnsi="仿宋" w:eastAsia="仿宋" w:cs="仿宋"/>
                <w:color w:val="auto"/>
                <w:sz w:val="28"/>
                <w:szCs w:val="24"/>
                <w:highlight w:val="none"/>
                <w:lang w:val="en-US" w:eastAsia="zh-CN"/>
              </w:rPr>
              <w:t>在全国认证认可信息公共服务平台（认 e 云）（http://cx.cnca.cn/CertECloud/index/index/page）查询有效的截图，原件备查。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50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检测报告</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一、原材料检测报告：</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1、《刨花板》检测报告，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符合GB 18580-2017、GB/T 35601-2017、GB/T 4897-2015、GB/T39600-2021标准。</w:t>
            </w:r>
          </w:p>
          <w:p>
            <w:pPr>
              <w:adjustRightInd w:val="0"/>
              <w:snapToGrid w:val="0"/>
              <w:spacing w:line="440" w:lineRule="exact"/>
              <w:jc w:val="left"/>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2、《中密度纤维板》检测报告，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符合GB 18580-2017、GB/T 35601-2017、GB/T 11718-2021、GB/T 39600-2021标准。</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3、《水性面漆》检测报告，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符合GB/T 23986-2009、GB 18581-2020、GB/T 23993-2009、GB/T 31414-2015标准。</w:t>
            </w:r>
          </w:p>
          <w:p>
            <w:pPr>
              <w:adjustRightInd w:val="0"/>
              <w:snapToGrid w:val="0"/>
              <w:spacing w:line="440" w:lineRule="exact"/>
              <w:jc w:val="left"/>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4、《皮革》检测报告，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符合GB/T 16799-2018《家具用皮革》、HJ 507-2009、QB/T 2709-2005标准。</w:t>
            </w:r>
          </w:p>
          <w:p>
            <w:pPr>
              <w:adjustRightInd w:val="0"/>
              <w:snapToGrid w:val="0"/>
              <w:spacing w:line="440" w:lineRule="exact"/>
              <w:jc w:val="left"/>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5、《阻燃海绵》检测报告，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符合GB/T 10802-2006、参照QB/T 1952.1-2012、GB 17927.1-2011标准</w:t>
            </w:r>
            <w:r>
              <w:rPr>
                <w:rFonts w:hint="eastAsia" w:ascii="仿宋" w:hAnsi="仿宋" w:eastAsia="仿宋" w:cs="仿宋"/>
                <w:color w:val="auto"/>
                <w:sz w:val="28"/>
                <w:szCs w:val="24"/>
                <w:highlight w:val="none"/>
                <w:lang w:eastAsia="zh-CN"/>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6、《激光ABS封边条》检测报告，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符合QB/T 4463-2013《家具用封边条技术要求》标准。</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二、成品检测报告：</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1、《屏风工作位》检测报告，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符合QB/T 4935-2016《办公家具 屏风桌》、GB 18584-2001、GB/T 35607-2017《绿色产品评价家具》标准。</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2、《带柜折叠床》检测报告，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符合QB/T 4459-2013《折叠床》、GB 18584-2001标准。</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3、《办公椅》检测报告，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符合QB/T 2280-2016《办公家具办公椅》标准。</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4、《胶板文件柜》检测报告，</w:t>
            </w:r>
            <w:r>
              <w:rPr>
                <w:rFonts w:hint="eastAsia" w:ascii="仿宋" w:hAnsi="仿宋" w:eastAsia="仿宋" w:cs="仿宋"/>
                <w:color w:val="auto"/>
                <w:sz w:val="28"/>
                <w:szCs w:val="24"/>
                <w:highlight w:val="none"/>
                <w:lang w:val="en-US" w:eastAsia="zh-CN"/>
              </w:rPr>
              <w:t>须</w:t>
            </w:r>
            <w:r>
              <w:rPr>
                <w:rFonts w:hint="eastAsia" w:ascii="仿宋" w:hAnsi="仿宋" w:eastAsia="仿宋" w:cs="仿宋"/>
                <w:color w:val="auto"/>
                <w:sz w:val="28"/>
                <w:szCs w:val="24"/>
                <w:highlight w:val="none"/>
              </w:rPr>
              <w:t>符合GB 18584-2001、GB/T 35607-2017《绿色产品评价家具》、GB/T 3324-2017标准。</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格式详见“附件1.6”，</w:t>
            </w: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验讫日期为自2021年1月1日至投标截止之日的第三方检测机构出具的具有CMA和CNAS标识的检测报告扫描件。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50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512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室内软装编制</w:t>
            </w:r>
            <w:r>
              <w:rPr>
                <w:rFonts w:hint="eastAsia" w:ascii="仿宋" w:hAnsi="仿宋" w:eastAsia="仿宋" w:cs="仿宋"/>
                <w:color w:val="auto"/>
                <w:sz w:val="28"/>
                <w:szCs w:val="24"/>
                <w:highlight w:val="none"/>
              </w:rPr>
              <w:t>施工方案：</w:t>
            </w:r>
          </w:p>
          <w:p>
            <w:pPr>
              <w:adjustRightInd w:val="0"/>
              <w:snapToGrid w:val="0"/>
              <w:spacing w:line="440" w:lineRule="exact"/>
              <w:ind w:firstLine="560" w:firstLineChars="200"/>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包括室内软装编制施工方案、编制工作进度、编制效果图等。</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（1）根据投标方案及产品能出具所有必要的平面图纸、产品图片、家具配置方案（效果图或其他演示材料）。</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（2）编制工作进度安排合理，符合项目需求。</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（3）根据用户需求提出的深化设计方案、整体方案配置、家具搭配合理且功能完全符合用户需求。</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9"/>
        <w:tblW w:w="8835"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adjustRightInd w:val="0"/>
        <w:spacing w:before="157" w:beforeLines="50" w:line="360" w:lineRule="auto"/>
        <w:ind w:firstLine="0" w:firstLineChars="0"/>
        <w:rPr>
          <w:rFonts w:hint="eastAsia" w:ascii="仿宋_GB2312" w:hAnsi="仿宋_GB2312" w:eastAsia="仿宋_GB2312" w:cs="仿宋_GB2312"/>
          <w:bCs w:val="0"/>
          <w:color w:val="auto"/>
          <w:sz w:val="24"/>
          <w:szCs w:val="24"/>
          <w:highlight w:val="none"/>
        </w:rPr>
      </w:pPr>
      <w:r>
        <w:rPr>
          <w:rFonts w:hint="eastAsia" w:ascii="仿宋_GB2312" w:hAnsi="仿宋_GB2312" w:eastAsia="仿宋_GB2312" w:cs="仿宋_GB2312"/>
          <w:bCs w:val="0"/>
          <w:color w:val="auto"/>
          <w:sz w:val="24"/>
          <w:szCs w:val="24"/>
          <w:highlight w:val="none"/>
        </w:rPr>
        <w:t>注：</w:t>
      </w:r>
      <w:r>
        <w:rPr>
          <w:rFonts w:hint="eastAsia" w:ascii="仿宋_GB2312" w:hAnsi="仿宋_GB2312" w:eastAsia="仿宋_GB2312" w:cs="仿宋_GB2312"/>
          <w:bCs w:val="0"/>
          <w:color w:val="auto"/>
          <w:sz w:val="24"/>
          <w:szCs w:val="24"/>
          <w:highlight w:val="none"/>
          <w:lang w:val="en-US" w:eastAsia="zh-CN"/>
        </w:rPr>
        <w:t>相关证书扫描件应后附，</w:t>
      </w:r>
      <w:r>
        <w:rPr>
          <w:rFonts w:hint="eastAsia" w:ascii="仿宋_GB2312" w:hAnsi="仿宋_GB2312" w:eastAsia="仿宋_GB2312" w:cs="仿宋_GB2312"/>
          <w:bCs w:val="0"/>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龙华区数字创新中心司法调解院软装采购</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10"/>
        <w:tblW w:w="894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9"/>
        <w:gridCol w:w="3467"/>
        <w:gridCol w:w="1781"/>
        <w:gridCol w:w="1268"/>
        <w:gridCol w:w="1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67"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6"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u w:val="none"/>
                <w:lang w:val="en-US" w:eastAsia="zh-CN"/>
              </w:rPr>
            </w:pPr>
            <w:r>
              <w:rPr>
                <w:rFonts w:hint="eastAsia" w:ascii="仿宋" w:hAnsi="仿宋" w:eastAsia="仿宋" w:cs="仿宋"/>
                <w:bCs/>
                <w:color w:val="auto"/>
                <w:sz w:val="24"/>
                <w:szCs w:val="24"/>
                <w:highlight w:val="none"/>
                <w:u w:val="none"/>
                <w:lang w:val="en-US" w:eastAsia="zh-CN"/>
              </w:rPr>
              <w:t>软装供应及安装合价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auto"/>
                <w:sz w:val="24"/>
                <w:szCs w:val="24"/>
                <w:highlight w:val="none"/>
                <w:u w:val="none"/>
                <w:lang w:eastAsia="zh-CN"/>
              </w:rPr>
            </w:pPr>
            <w:r>
              <w:rPr>
                <w:rFonts w:hint="eastAsia" w:ascii="仿宋" w:hAnsi="仿宋" w:eastAsia="仿宋" w:cs="仿宋"/>
                <w:bCs/>
                <w:color w:val="auto"/>
                <w:sz w:val="24"/>
                <w:szCs w:val="24"/>
                <w:highlight w:val="none"/>
                <w:u w:val="none"/>
                <w:lang w:eastAsia="zh-CN"/>
              </w:rPr>
              <w:t>（不含不可竞争费）</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default" w:ascii="仿宋" w:hAnsi="仿宋" w:eastAsia="仿宋" w:cs="仿宋"/>
                <w:bCs w:val="0"/>
                <w:kern w:val="2"/>
                <w:sz w:val="24"/>
                <w:szCs w:val="24"/>
                <w:lang w:val="en-US" w:eastAsia="zh-CN"/>
              </w:rPr>
              <w:t>333,711.2</w:t>
            </w:r>
            <w:r>
              <w:rPr>
                <w:rFonts w:hint="eastAsia" w:ascii="仿宋" w:hAnsi="仿宋" w:eastAsia="仿宋" w:cs="仿宋"/>
                <w:bCs w:val="0"/>
                <w:kern w:val="2"/>
                <w:sz w:val="24"/>
                <w:szCs w:val="24"/>
                <w:lang w:val="en-US" w:eastAsia="zh-CN"/>
              </w:rPr>
              <w:t>0</w:t>
            </w:r>
          </w:p>
        </w:tc>
        <w:tc>
          <w:tcPr>
            <w:tcW w:w="1268" w:type="dxa"/>
            <w:tcBorders>
              <w:tl2br w:val="nil"/>
              <w:tr2bl w:val="nil"/>
            </w:tcBorders>
            <w:vAlign w:val="center"/>
          </w:tcPr>
          <w:p>
            <w:pPr>
              <w:widowControl/>
              <w:spacing w:line="360" w:lineRule="auto"/>
              <w:jc w:val="center"/>
              <w:rPr>
                <w:rFonts w:hint="eastAsia" w:ascii="仿宋" w:hAnsi="仿宋" w:eastAsia="仿宋" w:cs="仿宋"/>
                <w:sz w:val="24"/>
                <w:szCs w:val="24"/>
              </w:rPr>
            </w:pPr>
            <w:bookmarkStart w:id="2" w:name="_GoBack"/>
            <w:bookmarkEnd w:id="2"/>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6"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bCs w:val="0"/>
                <w:kern w:val="2"/>
                <w:sz w:val="24"/>
                <w:szCs w:val="24"/>
                <w:lang w:val="en-US"/>
              </w:rPr>
              <w:t>不可竞争费用合计</w:t>
            </w:r>
            <w:r>
              <w:rPr>
                <w:rFonts w:hint="eastAsia" w:ascii="仿宋" w:hAnsi="仿宋" w:eastAsia="仿宋" w:cs="仿宋"/>
                <w:bCs w:val="0"/>
                <w:kern w:val="2"/>
                <w:sz w:val="24"/>
                <w:szCs w:val="24"/>
                <w:lang w:val="en-US" w:eastAsia="zh-CN"/>
              </w:rPr>
              <w:t xml:space="preserve">         （</w:t>
            </w:r>
            <w:r>
              <w:rPr>
                <w:rFonts w:hint="eastAsia" w:ascii="仿宋" w:hAnsi="仿宋" w:eastAsia="仿宋" w:cs="仿宋"/>
                <w:bCs w:val="0"/>
                <w:kern w:val="2"/>
                <w:sz w:val="24"/>
                <w:szCs w:val="24"/>
                <w:lang w:val="en-US"/>
              </w:rPr>
              <w:t>暂列金额</w:t>
            </w:r>
            <w:r>
              <w:rPr>
                <w:rFonts w:hint="eastAsia" w:ascii="仿宋" w:hAnsi="仿宋" w:eastAsia="仿宋" w:cs="仿宋"/>
                <w:bCs w:val="0"/>
                <w:kern w:val="2"/>
                <w:sz w:val="24"/>
                <w:szCs w:val="24"/>
                <w:lang w:val="en-US" w:eastAsia="zh-CN"/>
              </w:rPr>
              <w:t>）</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30,000</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00</w:t>
            </w:r>
          </w:p>
        </w:tc>
        <w:tc>
          <w:tcPr>
            <w:tcW w:w="126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w:t>
            </w:r>
          </w:p>
        </w:tc>
        <w:tc>
          <w:tcPr>
            <w:tcW w:w="1928"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30,000</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6" w:hRule="atLeast"/>
          <w:jc w:val="center"/>
        </w:trPr>
        <w:tc>
          <w:tcPr>
            <w:tcW w:w="499"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467"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合计</w:t>
            </w:r>
          </w:p>
        </w:tc>
        <w:tc>
          <w:tcPr>
            <w:tcW w:w="178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val="0"/>
                <w:kern w:val="2"/>
                <w:sz w:val="24"/>
                <w:szCs w:val="24"/>
                <w:lang w:val="en-US" w:eastAsia="zh-CN"/>
              </w:rPr>
            </w:pPr>
            <w:r>
              <w:rPr>
                <w:rFonts w:hint="eastAsia" w:ascii="仿宋" w:hAnsi="仿宋" w:eastAsia="仿宋" w:cs="仿宋"/>
                <w:bCs w:val="0"/>
                <w:kern w:val="2"/>
                <w:sz w:val="24"/>
                <w:szCs w:val="24"/>
                <w:lang w:val="en-US" w:eastAsia="zh-CN"/>
              </w:rPr>
              <w:t>363,711</w:t>
            </w:r>
            <w:r>
              <w:rPr>
                <w:rFonts w:hint="eastAsia" w:ascii="仿宋" w:hAnsi="仿宋" w:eastAsia="仿宋" w:cs="仿宋"/>
                <w:bCs w:val="0"/>
                <w:kern w:val="2"/>
                <w:sz w:val="24"/>
                <w:szCs w:val="24"/>
                <w:lang w:val="en-US"/>
              </w:rPr>
              <w:t>.</w:t>
            </w:r>
            <w:r>
              <w:rPr>
                <w:rFonts w:hint="eastAsia" w:ascii="仿宋" w:hAnsi="仿宋" w:eastAsia="仿宋" w:cs="仿宋"/>
                <w:bCs w:val="0"/>
                <w:kern w:val="2"/>
                <w:sz w:val="24"/>
                <w:szCs w:val="24"/>
                <w:lang w:val="en-US" w:eastAsia="zh-CN"/>
              </w:rPr>
              <w:t>20</w:t>
            </w:r>
          </w:p>
        </w:tc>
        <w:tc>
          <w:tcPr>
            <w:tcW w:w="1268" w:type="dxa"/>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1928"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966"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总金额（大写）</w:t>
            </w:r>
          </w:p>
        </w:tc>
        <w:tc>
          <w:tcPr>
            <w:tcW w:w="4977" w:type="dxa"/>
            <w:gridSpan w:val="3"/>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上述表格仅填写最终报价及最终综合下浮率，具体报价已在清单中逐一填写，我司承诺投标报价不论单价、总价均为我司正常报价水准，不低于成本价，也不存在任何不平衡报价，若因我司不平衡报价或低于成本报价所产生的一切后果，均由我司自行承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6"/>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龙华区数字创新中心司法调解院软装采购</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6"/>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w:t>
      </w:r>
      <w:r>
        <w:rPr>
          <w:rFonts w:hint="eastAsia" w:ascii="仿宋" w:hAnsi="仿宋" w:eastAsia="仿宋" w:cs="仿宋"/>
          <w:b/>
          <w:bCs/>
          <w:color w:val="auto"/>
          <w:sz w:val="28"/>
          <w:szCs w:val="28"/>
          <w:highlight w:val="none"/>
          <w:lang w:eastAsia="zh-CN"/>
        </w:rPr>
        <w:t>项目</w:t>
      </w:r>
      <w:r>
        <w:rPr>
          <w:rFonts w:hint="eastAsia" w:ascii="仿宋" w:hAnsi="仿宋" w:eastAsia="仿宋" w:cs="仿宋"/>
          <w:b/>
          <w:bCs/>
          <w:color w:val="auto"/>
          <w:sz w:val="28"/>
          <w:szCs w:val="28"/>
          <w:highlight w:val="none"/>
        </w:rPr>
        <w:t>业绩一览表</w:t>
      </w:r>
    </w:p>
    <w:tbl>
      <w:tblPr>
        <w:tblStyle w:val="9"/>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rPr>
              <w:t>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项目</w:t>
            </w:r>
            <w:r>
              <w:rPr>
                <w:rFonts w:hint="eastAsia" w:ascii="仿宋" w:hAnsi="仿宋" w:eastAsia="仿宋" w:cs="仿宋"/>
                <w:b w:val="0"/>
                <w:bCs/>
                <w:color w:val="auto"/>
                <w:sz w:val="24"/>
                <w:szCs w:val="24"/>
                <w:highlight w:val="none"/>
              </w:rPr>
              <w:t>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spacing w:before="157" w:beforeLines="50" w:after="0"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r>
        <w:rPr>
          <w:rFonts w:hint="eastAsia" w:ascii="仿宋_GB2312" w:hAnsi="仿宋_GB2312" w:eastAsia="仿宋_GB2312" w:cs="仿宋_GB2312"/>
          <w:color w:val="auto"/>
          <w:sz w:val="24"/>
          <w:szCs w:val="24"/>
          <w:highlight w:val="none"/>
          <w:lang w:val="en-US" w:eastAsia="zh-CN"/>
        </w:rPr>
        <w:t>相关扫描件后附，</w:t>
      </w:r>
      <w:r>
        <w:rPr>
          <w:rFonts w:hint="eastAsia" w:ascii="仿宋_GB2312" w:hAnsi="仿宋_GB2312" w:eastAsia="仿宋_GB2312" w:cs="仿宋_GB2312"/>
          <w:color w:val="auto"/>
          <w:sz w:val="24"/>
          <w:szCs w:val="24"/>
          <w:highlight w:val="none"/>
        </w:rPr>
        <w:t>投标人将合同中项目名称、同类</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对应的合同额、</w:t>
      </w:r>
      <w:r>
        <w:rPr>
          <w:rFonts w:hint="eastAsia" w:ascii="仿宋_GB2312" w:hAnsi="仿宋_GB2312" w:eastAsia="仿宋_GB2312" w:cs="仿宋_GB2312"/>
          <w:color w:val="auto"/>
          <w:sz w:val="24"/>
          <w:szCs w:val="24"/>
          <w:highlight w:val="none"/>
          <w:lang w:eastAsia="zh-CN"/>
        </w:rPr>
        <w:t>项目</w:t>
      </w:r>
      <w:r>
        <w:rPr>
          <w:rFonts w:hint="eastAsia" w:ascii="仿宋_GB2312" w:hAnsi="仿宋_GB2312" w:eastAsia="仿宋_GB2312" w:cs="仿宋_GB2312"/>
          <w:color w:val="auto"/>
          <w:sz w:val="24"/>
          <w:szCs w:val="24"/>
          <w:highlight w:val="none"/>
        </w:rPr>
        <w:t>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家具类产品认证情况</w:t>
      </w:r>
      <w:r>
        <w:rPr>
          <w:rFonts w:hint="eastAsia" w:ascii="仿宋" w:hAnsi="仿宋" w:eastAsia="仿宋" w:cs="仿宋"/>
          <w:b/>
          <w:bCs/>
          <w:color w:val="auto"/>
          <w:sz w:val="28"/>
          <w:szCs w:val="28"/>
          <w:highlight w:val="none"/>
        </w:rPr>
        <w:t>一览表</w:t>
      </w:r>
    </w:p>
    <w:tbl>
      <w:tblPr>
        <w:tblStyle w:val="9"/>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认证证书</w:t>
            </w:r>
          </w:p>
        </w:tc>
        <w:tc>
          <w:tcPr>
            <w:tcW w:w="2100"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认证有效期</w:t>
            </w:r>
          </w:p>
        </w:tc>
        <w:tc>
          <w:tcPr>
            <w:tcW w:w="1593"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认证单元</w:t>
            </w:r>
          </w:p>
        </w:tc>
        <w:tc>
          <w:tcPr>
            <w:tcW w:w="177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认证单元是否齐全</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spacing w:before="157" w:beforeLines="50" w:after="0"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注：投标人提供有效期内的体系认证证书扫描件及在全国认证认可信息公共服务平台（认e云）（http://cx.cnca.cn/CertECloud/index/index/page）查询有效的截图，原件备查。</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1.6</w:t>
      </w:r>
      <w:r>
        <w:rPr>
          <w:rFonts w:hint="eastAsia" w:ascii="仿宋" w:hAnsi="仿宋" w:eastAsia="仿宋" w:cs="仿宋"/>
          <w:b/>
          <w:bCs w:val="0"/>
          <w:color w:val="auto"/>
          <w:sz w:val="28"/>
          <w:szCs w:val="28"/>
          <w:highlight w:val="none"/>
        </w:rPr>
        <w:t>：</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原材料及成品检测报告情况</w:t>
      </w:r>
      <w:r>
        <w:rPr>
          <w:rFonts w:hint="eastAsia" w:ascii="仿宋" w:hAnsi="仿宋" w:eastAsia="仿宋" w:cs="仿宋"/>
          <w:b/>
          <w:bCs/>
          <w:color w:val="auto"/>
          <w:sz w:val="28"/>
          <w:szCs w:val="28"/>
          <w:highlight w:val="none"/>
        </w:rPr>
        <w:t>一览表</w:t>
      </w:r>
    </w:p>
    <w:tbl>
      <w:tblPr>
        <w:tblStyle w:val="9"/>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784"/>
        <w:gridCol w:w="1580"/>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原材料/成品</w:t>
            </w:r>
          </w:p>
        </w:tc>
        <w:tc>
          <w:tcPr>
            <w:tcW w:w="2100"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检测报告品类</w:t>
            </w:r>
          </w:p>
        </w:tc>
        <w:tc>
          <w:tcPr>
            <w:tcW w:w="1784"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报告出具时间</w:t>
            </w:r>
          </w:p>
        </w:tc>
        <w:tc>
          <w:tcPr>
            <w:tcW w:w="1580" w:type="dxa"/>
            <w:tcBorders>
              <w:tl2br w:val="nil"/>
              <w:tr2bl w:val="nil"/>
            </w:tcBorders>
            <w:vAlign w:val="center"/>
          </w:tcPr>
          <w:p>
            <w:pPr>
              <w:adjustRightInd w:val="0"/>
              <w:snapToGrid w:val="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是否通过“认e云”认证</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84"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58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84"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58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84"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58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84"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58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784"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58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784" w:type="dxa"/>
            <w:tcBorders>
              <w:tl2br w:val="nil"/>
              <w:tr2bl w:val="nil"/>
            </w:tcBorders>
          </w:tcPr>
          <w:p>
            <w:pPr>
              <w:jc w:val="center"/>
              <w:rPr>
                <w:rFonts w:hint="eastAsia" w:ascii="仿宋" w:hAnsi="仿宋" w:eastAsia="仿宋" w:cs="仿宋"/>
                <w:b/>
                <w:bCs/>
                <w:color w:val="auto"/>
                <w:sz w:val="24"/>
                <w:szCs w:val="24"/>
                <w:highlight w:val="none"/>
              </w:rPr>
            </w:pPr>
          </w:p>
        </w:tc>
        <w:tc>
          <w:tcPr>
            <w:tcW w:w="1580"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spacing w:before="157" w:beforeLines="50" w:after="0"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注：投标人提供</w:t>
      </w:r>
      <w:r>
        <w:rPr>
          <w:rFonts w:hint="eastAsia" w:ascii="仿宋_GB2312" w:hAnsi="仿宋_GB2312" w:eastAsia="仿宋_GB2312" w:cs="仿宋_GB2312"/>
          <w:color w:val="auto"/>
          <w:sz w:val="24"/>
          <w:szCs w:val="24"/>
          <w:highlight w:val="none"/>
          <w:lang w:val="en-US" w:eastAsia="zh-CN"/>
        </w:rPr>
        <w:t>自2021年1月1日至投标截止之日的由投标单位委托第三方检测机构出具的具有CMA和CNAS标识的检测报告扫描件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在全国认证认可信息公共服务平台（认e云）（http://cx.cnca.cn/CertECloud/index/index/page）查询有效的截图，原件备查。</w:t>
      </w:r>
      <w:bookmarkEnd w:id="0"/>
      <w:bookmarkEnd w:id="1"/>
    </w:p>
    <w:p>
      <w:pPr>
        <w:adjustRightInd/>
        <w:snapToGrid/>
        <w:spacing w:beforeLines="-2147483648" w:after="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1.7</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9"/>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bl>
    <w:p>
      <w:pPr>
        <w:adjustRightInd w:val="0"/>
        <w:snapToGrid/>
        <w:spacing w:before="157" w:beforeLines="50" w:after="0" w:line="36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r>
        <w:rPr>
          <w:rFonts w:hint="eastAsia" w:ascii="仿宋_GB2312" w:hAnsi="仿宋_GB2312" w:eastAsia="仿宋_GB2312" w:cs="仿宋_GB2312"/>
          <w:color w:val="auto"/>
          <w:sz w:val="24"/>
          <w:szCs w:val="24"/>
          <w:highlight w:val="none"/>
          <w:lang w:val="en-US" w:eastAsia="zh-CN"/>
        </w:rPr>
        <w:t>拟派</w:t>
      </w:r>
      <w:r>
        <w:rPr>
          <w:rFonts w:hint="eastAsia" w:ascii="仿宋_GB2312" w:hAnsi="仿宋_GB2312" w:eastAsia="仿宋_GB2312" w:cs="仿宋_GB2312"/>
          <w:color w:val="auto"/>
          <w:sz w:val="24"/>
          <w:szCs w:val="24"/>
          <w:highlight w:val="none"/>
        </w:rPr>
        <w:t>项目团队主要管理人员</w:t>
      </w:r>
      <w:r>
        <w:rPr>
          <w:rFonts w:hint="eastAsia" w:ascii="仿宋_GB2312" w:hAnsi="仿宋_GB2312" w:eastAsia="仿宋_GB2312" w:cs="仿宋_GB2312"/>
          <w:color w:val="auto"/>
          <w:sz w:val="24"/>
          <w:szCs w:val="24"/>
          <w:highlight w:val="none"/>
          <w:lang w:val="en-US" w:eastAsia="zh-CN"/>
        </w:rPr>
        <w:t>应</w:t>
      </w:r>
      <w:r>
        <w:rPr>
          <w:rFonts w:hint="eastAsia" w:ascii="仿宋_GB2312" w:hAnsi="仿宋_GB2312" w:eastAsia="仿宋_GB2312" w:cs="仿宋_GB2312"/>
          <w:color w:val="auto"/>
          <w:sz w:val="24"/>
          <w:szCs w:val="24"/>
          <w:highlight w:val="none"/>
        </w:rPr>
        <w:t>附</w:t>
      </w:r>
      <w:r>
        <w:rPr>
          <w:rFonts w:hint="eastAsia" w:ascii="仿宋_GB2312" w:hAnsi="仿宋_GB2312" w:eastAsia="仿宋_GB2312" w:cs="仿宋_GB2312"/>
          <w:color w:val="auto"/>
          <w:sz w:val="24"/>
          <w:szCs w:val="24"/>
          <w:highlight w:val="none"/>
          <w:lang w:val="en-US" w:eastAsia="zh-CN"/>
        </w:rPr>
        <w:t>资格证书、</w:t>
      </w:r>
      <w:r>
        <w:rPr>
          <w:rFonts w:hint="eastAsia" w:ascii="仿宋_GB2312" w:hAnsi="仿宋_GB2312" w:eastAsia="仿宋_GB2312" w:cs="仿宋_GB2312"/>
          <w:color w:val="auto"/>
          <w:sz w:val="24"/>
          <w:szCs w:val="24"/>
          <w:highlight w:val="none"/>
        </w:rPr>
        <w:t>注册证书、职称证书、</w:t>
      </w:r>
      <w:r>
        <w:rPr>
          <w:rFonts w:hint="eastAsia" w:ascii="仿宋_GB2312" w:hAnsi="仿宋_GB2312" w:eastAsia="仿宋_GB2312" w:cs="仿宋_GB2312"/>
          <w:color w:val="auto"/>
          <w:sz w:val="24"/>
          <w:szCs w:val="24"/>
          <w:highlight w:val="none"/>
          <w:lang w:val="en-US" w:eastAsia="zh-CN"/>
        </w:rPr>
        <w:t>学历</w:t>
      </w:r>
      <w:r>
        <w:rPr>
          <w:rFonts w:hint="eastAsia" w:ascii="仿宋_GB2312" w:hAnsi="仿宋_GB2312" w:eastAsia="仿宋_GB2312" w:cs="仿宋_GB2312"/>
          <w:color w:val="auto"/>
          <w:sz w:val="24"/>
          <w:szCs w:val="24"/>
          <w:highlight w:val="none"/>
        </w:rPr>
        <w:t>证书等扫描件，</w:t>
      </w:r>
      <w:r>
        <w:rPr>
          <w:rFonts w:hint="eastAsia" w:ascii="仿宋_GB2312" w:hAnsi="仿宋_GB2312" w:eastAsia="仿宋_GB2312" w:cs="仿宋_GB2312"/>
          <w:color w:val="auto"/>
          <w:sz w:val="24"/>
          <w:szCs w:val="24"/>
          <w:highlight w:val="none"/>
          <w:lang w:val="en-US" w:eastAsia="zh-CN"/>
        </w:rPr>
        <w:t>及</w:t>
      </w:r>
      <w:r>
        <w:rPr>
          <w:rFonts w:hint="eastAsia" w:ascii="仿宋_GB2312" w:hAnsi="仿宋_GB2312" w:eastAsia="仿宋_GB2312" w:cs="仿宋_GB2312"/>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pStyle w:val="8"/>
        <w:rPr>
          <w:rFonts w:hint="default"/>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42D158D"/>
    <w:rsid w:val="137E32EB"/>
    <w:rsid w:val="18893450"/>
    <w:rsid w:val="21F433CC"/>
    <w:rsid w:val="2847702A"/>
    <w:rsid w:val="2F9C3726"/>
    <w:rsid w:val="306A4EEC"/>
    <w:rsid w:val="32B00E4D"/>
    <w:rsid w:val="33BF02E8"/>
    <w:rsid w:val="3444618C"/>
    <w:rsid w:val="3A3E4582"/>
    <w:rsid w:val="3D3171E8"/>
    <w:rsid w:val="498E7188"/>
    <w:rsid w:val="49AB55A6"/>
    <w:rsid w:val="50317CDC"/>
    <w:rsid w:val="56CB2B66"/>
    <w:rsid w:val="5AF83711"/>
    <w:rsid w:val="5BF14D74"/>
    <w:rsid w:val="6140578B"/>
    <w:rsid w:val="68610DE6"/>
    <w:rsid w:val="777D7FD8"/>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Indent"/>
    <w:basedOn w:val="1"/>
    <w:qFormat/>
    <w:uiPriority w:val="0"/>
    <w:pPr>
      <w:ind w:firstLine="600" w:firstLineChars="200"/>
    </w:pPr>
    <w:rPr>
      <w:sz w:val="30"/>
    </w:rPr>
  </w:style>
  <w:style w:type="paragraph" w:styleId="6">
    <w:name w:val="Plain Text"/>
    <w:basedOn w:val="1"/>
    <w:qFormat/>
    <w:uiPriority w:val="0"/>
    <w:rPr>
      <w:rFonts w:hAnsi="Courier New" w:cs="Courier New"/>
      <w:szCs w:val="21"/>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Body Text First Indent 2"/>
    <w:basedOn w:val="5"/>
    <w:unhideWhenUsed/>
    <w:qFormat/>
    <w:uiPriority w:val="99"/>
    <w:pPr>
      <w:spacing w:after="120"/>
      <w:ind w:left="420" w:leftChars="200"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高于堡</cp:lastModifiedBy>
  <dcterms:modified xsi:type="dcterms:W3CDTF">2023-09-08T07:41:05Z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CF834F5FA2B9441EA2356E7AD013DE0A_13</vt:lpwstr>
  </property>
</Properties>
</file>