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原件盖公章，格式详见“附件1.</w:t>
            </w:r>
            <w:r>
              <w:rPr>
                <w:rFonts w:hint="eastAsia" w:ascii="仿宋" w:hAnsi="仿宋" w:eastAsia="仿宋" w:cs="仿宋"/>
                <w:color w:val="auto"/>
                <w:sz w:val="28"/>
                <w:szCs w:val="24"/>
                <w:highlight w:val="none"/>
                <w:lang w:val="en-US" w:eastAsia="zh-CN"/>
              </w:rPr>
              <w:t>5、1.6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至少需配置</w:t>
            </w:r>
            <w:r>
              <w:rPr>
                <w:rFonts w:hint="eastAsia" w:ascii="仿宋" w:hAnsi="仿宋" w:eastAsia="仿宋" w:cs="仿宋"/>
                <w:color w:val="auto"/>
                <w:sz w:val="28"/>
                <w:szCs w:val="24"/>
                <w:highlight w:val="none"/>
                <w:lang w:val="en-US" w:eastAsia="zh-CN"/>
              </w:rPr>
              <w:t>技术负责人、生产经理、安全负责人、质量负责人、商务负责人等5名专业技术人员</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lang w:val="en-US" w:eastAsia="zh-CN"/>
              </w:rPr>
              <w:t>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一级注册师证（</w:t>
            </w:r>
            <w:r>
              <w:rPr>
                <w:rFonts w:hint="eastAsia" w:ascii="仿宋" w:hAnsi="仿宋" w:eastAsia="仿宋" w:cs="仿宋"/>
                <w:color w:val="auto"/>
                <w:sz w:val="28"/>
                <w:szCs w:val="24"/>
                <w:highlight w:val="none"/>
                <w:lang w:val="en-US" w:eastAsia="zh-CN"/>
              </w:rPr>
              <w:t>建造师</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val="en-US" w:eastAsia="zh-CN"/>
              </w:rPr>
              <w:t>安全工程师</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造价</w:t>
            </w:r>
            <w:r>
              <w:rPr>
                <w:rFonts w:hint="eastAsia" w:ascii="仿宋" w:hAnsi="仿宋" w:eastAsia="仿宋" w:cs="仿宋"/>
                <w:color w:val="auto"/>
                <w:sz w:val="28"/>
                <w:szCs w:val="24"/>
                <w:highlight w:val="none"/>
                <w:lang w:val="en-US" w:eastAsia="zh-CN"/>
              </w:rPr>
              <w:t>工程</w:t>
            </w:r>
            <w:r>
              <w:rPr>
                <w:rFonts w:hint="eastAsia" w:ascii="仿宋" w:hAnsi="仿宋" w:eastAsia="仿宋" w:cs="仿宋"/>
                <w:color w:val="auto"/>
                <w:sz w:val="28"/>
                <w:szCs w:val="24"/>
                <w:highlight w:val="none"/>
              </w:rPr>
              <w:t>师等）</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工程类职称证书等）及所有项目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原件扫描件盖公章，技术标需评审的内容详见“附件1.7”。</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92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1165"/>
        <w:gridCol w:w="1506"/>
        <w:gridCol w:w="1900"/>
        <w:gridCol w:w="1050"/>
        <w:gridCol w:w="1488"/>
        <w:gridCol w:w="13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6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拆除面积（㎡）</w:t>
            </w:r>
          </w:p>
        </w:tc>
        <w:tc>
          <w:tcPr>
            <w:tcW w:w="1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4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下浮后单价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（元/㎡）</w:t>
            </w:r>
          </w:p>
        </w:tc>
        <w:tc>
          <w:tcPr>
            <w:tcW w:w="133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1标段</w:t>
            </w:r>
          </w:p>
        </w:tc>
        <w:tc>
          <w:tcPr>
            <w:tcW w:w="1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335,583.70</w:t>
            </w:r>
          </w:p>
        </w:tc>
        <w:tc>
          <w:tcPr>
            <w:tcW w:w="1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1,261,794.71</w:t>
            </w:r>
          </w:p>
        </w:tc>
        <w:tc>
          <w:tcPr>
            <w:tcW w:w="1050" w:type="dxa"/>
            <w:vMerge w:val="restart"/>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488" w:type="dxa"/>
            <w:vMerge w:val="restart"/>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37"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2标段</w:t>
            </w:r>
          </w:p>
        </w:tc>
        <w:tc>
          <w:tcPr>
            <w:tcW w:w="1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452,526.54</w:t>
            </w:r>
          </w:p>
        </w:tc>
        <w:tc>
          <w:tcPr>
            <w:tcW w:w="1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1,701,499.79</w:t>
            </w:r>
          </w:p>
        </w:tc>
        <w:tc>
          <w:tcPr>
            <w:tcW w:w="1050"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p>
        </w:tc>
        <w:tc>
          <w:tcPr>
            <w:tcW w:w="1488"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37"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788110.24</w:t>
            </w:r>
          </w:p>
        </w:tc>
        <w:tc>
          <w:tcPr>
            <w:tcW w:w="1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sz w:val="24"/>
                <w:szCs w:val="24"/>
                <w:lang w:val="en-US" w:eastAsia="zh-CN"/>
              </w:rPr>
              <w:t>2,963,294.50</w:t>
            </w:r>
          </w:p>
        </w:tc>
        <w:tc>
          <w:tcPr>
            <w:tcW w:w="1050"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p>
        </w:tc>
        <w:tc>
          <w:tcPr>
            <w:tcW w:w="1488"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37"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935"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w:t>
            </w:r>
          </w:p>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tc>
        <w:tc>
          <w:tcPr>
            <w:tcW w:w="7281" w:type="dxa"/>
            <w:gridSpan w:val="5"/>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2.以上所报综合单价为含税固定综合单价，包含工程费、措施项目费（含安全文明措施费）、其他项目费、管理费、利润、规费、税金等所有费用。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w:t>
      </w:r>
      <w:bookmarkStart w:id="3" w:name="_GoBack"/>
      <w:bookmarkEnd w:id="3"/>
      <w:r>
        <w:rPr>
          <w:rFonts w:hint="eastAsia" w:ascii="仿宋" w:hAnsi="仿宋" w:eastAsia="仿宋" w:cs="仿宋"/>
          <w:bCs/>
          <w:color w:val="auto"/>
          <w:sz w:val="24"/>
          <w:szCs w:val="24"/>
          <w:highlight w:val="none"/>
        </w:rPr>
        <w:t>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spacing w:line="6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为了确保本项目工作顺利进行，我方将严格执行建设工程招标投标管理的法律法规，并完全接受观湖北产业片区土地整备利益统筹项目房屋拆除工程 招标文件的所有内容及要求，为此作出如下承诺：</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文件中的计算方法，根据企业自身情况，理性报价，不会以低于成本的报价竞争，按招标文件要求承包本工程的施工、竣工并修补其任何缺陷。《投标报价书》中填报的报价是投标人按照公告要求完成公告规定的全部工作内容所需的全部费用（含合理成本、税金及利润等一切费用）。</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响应文件所报的项目配备人员，若擅自更改，自愿接受5万元/人次的处罚。如不能继续履行职责确需更换的，所更换人员为我单位职工，其从业资格不低于遴选时承诺条件。</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4.投标过程中，遵循公开、公正、公平的原则，并与其他投标人友好竞争，保证在投标过程中不相互串通投标报价；不排挤其他投标人的合法权益；也不以其他人名义投标。</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5.投标文件中所描述的企业和拟派人员情况以及所提供的证明材料是真实、准确的。如有虚假，本投标人愿接受政府相关行政主管部门给予的任何处罚。</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6.如本投标人以任何方式弄虚作假骗取中标；无论任何时候，招标人均可无条件取消本投标人的投标资格或中标资格，已签订合同的可随时终止合同而不需要给予本投标人任何补偿。</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方承诺中标后可采用联合或委托符合主管部门要求的建筑废弃物综合利用企业等方式，按照《深圳市建筑废弃物管理办法》规定，办理好废弃物处理的相关手续，开展本项目建筑废弃物综合利用工作及办理施工许可证的工作。</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按照主管部门的要求，在中标后办理施工许可证，并开展建筑废弃物综合利用工作。如若中标签订合同后20个工作日内因我方原因造成的施工许可证未办理成功，我司视为放弃中标资格。贵司有权因为此情况向我方索赔，索赔金额为合同额的5%，此索赔金额从履约保函中扣除。</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建立完善的质量安全保证体系，配备与投标文件相一致且满足工程建设规模、技术要求、安全要求的项目管理机构和施工管理人员，并确保常驻现场。我方在本工程中配备的项目管理机构和施工管理人员详见《项目管理机构配备情况表》（投标人填写）。撤换上述人员前，必须征得贵方及建设行政主管部门批准同意。否则，招标人有权取消我公司的中标资格或单方面终止合同，由此造成的违约责任由我公司承担。</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10.我方在本工程中投入的主要机械设备详见附件《主要机械设备表》。所使用的工程机械、装卸机械满足国家现阶段非道路移动机械用柴油机排放标准。（投标人填写）</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11.如果本工程不要求编制技术标书的，我方保证在中标后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日内，完成本工程实施的施工组织设计编制，并得到贵方的认可。</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12.为确保施工安全，我方保证在签定施工合同</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日后，提交施工作业范围内的市政基础设施管线防护措施，按照《深圳市建设工程安全文明施工标准》，落实安全防护、环境保护、安全培训和信息化管理等要求，安全文明施工措施费专款专用。</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13.对在工程实施过程中发生的工程变更，严格按照双方合同的有关规定计量和计价，我方保证接受贵方要求完成变更的工程内容。</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14.按照施工合同约定的质量缺陷保修范围和相应的保修期，我方保证在接到保修通知后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日内派人维修，直到达到合格的质量标准。</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15.我方保证中标后不转包或违法分包，依法按照国家、省、市有关规定发包劳务或使用自有劳务队伍，按时足额支付工程款给分包单位（如有）。</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我方保证中标后切实落实用工实名制和分账制管理的各项规定，利用信息技术手段对施工现场人员建立基本信息档案，采用人脸识别、扫码等技术实施考勤管理；开设工人工资专用账户，保证工人工资按月足额发放。我方接受招标人及建设行政主管部门的监督、检查。</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17.我方承诺以下情况均属实：</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（1）我单位或者其法定代表人无近3年内（从招标公告发布之日起倒算）行贿犯罪记录的。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（2）我单位无近1年内（从截标之日起倒算）因串通投标、转包、以他人名义投标或者违法分包等违法行为受到建设、交通或者财政部门行政处罚的。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（3）我单位无因违反工程质量、安全生产管理规定等原因被建设部门给予红色警示且在警示期内的。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（4）我单位无拖欠工人工资被有关部门责令改正而未改正的。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（5）我单位无被建设或者交通部门信用评价为红色且正处在信用评价结果公示期内的。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（6）我单位无近3年内（从截标之日起倒算）曾被本项目招标人履约评价为不合格的。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（7）我单位无近2年内（从截标之日起倒算）曾有放弃中标资格、拒不签订合同、拒不提供履约担保情形的。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（8）我单位无因违反工程质量、安全生产管理规定，或者因串通投标、转包、以他人名义投标或者违法分包等违法行为，正在接受建设、交通或者财政部门立案调查的。</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（9）我单位无应当拒绝投标的其他情形。</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18.如果违反本承诺书中任何条款，我方愿意接受：</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spacing w:line="6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adjustRightInd w:val="0"/>
        <w:snapToGrid w:val="0"/>
        <w:spacing w:line="360" w:lineRule="auto"/>
        <w:jc w:val="left"/>
        <w:rPr>
          <w:rFonts w:hint="default" w:eastAsia="宋体"/>
          <w:b w:val="0"/>
          <w:bCs/>
          <w:color w:val="000000" w:themeColor="text1"/>
          <w:sz w:val="28"/>
          <w:szCs w:val="28"/>
          <w:lang w:val="en-US" w:eastAsia="zh-CN"/>
          <w14:textFill>
            <w14:solidFill>
              <w14:schemeClr w14:val="tx1"/>
            </w14:solidFill>
          </w14:textFill>
        </w:rPr>
      </w:pPr>
      <w:r>
        <w:rPr>
          <w:rFonts w:hint="eastAsia"/>
          <w:b w:val="0"/>
          <w:bCs/>
          <w:color w:val="000000" w:themeColor="text1"/>
          <w:sz w:val="28"/>
          <w:szCs w:val="28"/>
          <w:lang w:val="en-US" w:eastAsia="zh-CN"/>
          <w14:textFill>
            <w14:solidFill>
              <w14:schemeClr w14:val="tx1"/>
            </w14:solidFill>
          </w14:textFill>
        </w:rPr>
        <w:t>附件1.7</w:t>
      </w:r>
    </w:p>
    <w:p>
      <w:pPr>
        <w:adjustRightInd w:val="0"/>
        <w:snapToGrid w:val="0"/>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技术标综合评审项目</w:t>
      </w:r>
    </w:p>
    <w:tbl>
      <w:tblPr>
        <w:tblStyle w:val="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83"/>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shd w:val="clear" w:color="auto" w:fill="auto"/>
            <w:vAlign w:val="center"/>
          </w:tcPr>
          <w:p>
            <w:pPr>
              <w:widowControl w:val="0"/>
              <w:adjustRightInd w:val="0"/>
              <w:snapToGrid w:val="0"/>
              <w:spacing w:line="360" w:lineRule="auto"/>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2183" w:type="dxa"/>
            <w:shd w:val="clear" w:color="auto" w:fill="auto"/>
            <w:vAlign w:val="center"/>
          </w:tcPr>
          <w:p>
            <w:pPr>
              <w:widowControl w:val="0"/>
              <w:adjustRightInd w:val="0"/>
              <w:snapToGrid w:val="0"/>
              <w:spacing w:line="360" w:lineRule="auto"/>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评审项目</w:t>
            </w:r>
          </w:p>
        </w:tc>
        <w:tc>
          <w:tcPr>
            <w:tcW w:w="5370" w:type="dxa"/>
            <w:shd w:val="clear" w:color="auto" w:fill="auto"/>
            <w:vAlign w:val="center"/>
          </w:tcPr>
          <w:p>
            <w:pPr>
              <w:widowControl w:val="0"/>
              <w:adjustRightInd w:val="0"/>
              <w:snapToGrid w:val="0"/>
              <w:spacing w:line="360" w:lineRule="auto"/>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bookmarkStart w:id="2" w:name="定性评审法2" w:colFirst="0" w:colLast="0"/>
            <w:r>
              <w:rPr>
                <w:color w:val="000000" w:themeColor="text1"/>
                <w:sz w:val="21"/>
                <w14:textFill>
                  <w14:solidFill>
                    <w14:schemeClr w14:val="tx1"/>
                  </w14:solidFill>
                </w14:textFill>
              </w:rPr>
              <w:t>1</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施工管理的重点与难点分析与应对措施</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对本工程施工有针对性的重点、难点分析以及针对性的措施，各类应对措施满足工程质量、安全、进度的要求，在建筑物拆除安全施工、环境卫生、控制污染、防尘降噪、周边防护以及建筑物废弃物减排回收利用等方面有针对性措施。</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2</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项目管理机构设置及人员配备</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项目管理机构全面、合理，班子人员齐整（</w:t>
            </w:r>
            <w:r>
              <w:rPr>
                <w:rFonts w:hint="eastAsia"/>
                <w:color w:val="000000" w:themeColor="text1"/>
                <w:sz w:val="21"/>
                <w14:textFill>
                  <w14:solidFill>
                    <w14:schemeClr w14:val="tx1"/>
                  </w14:solidFill>
                </w14:textFill>
              </w:rPr>
              <w:t>至少需配置项目经理、生产负责人、技术负责人、质量负责人、安全负责人、商务负责人等</w:t>
            </w:r>
            <w:r>
              <w:rPr>
                <w:color w:val="000000" w:themeColor="text1"/>
                <w:sz w:val="21"/>
                <w14:textFill>
                  <w14:solidFill>
                    <w14:schemeClr w14:val="tx1"/>
                  </w14:solidFill>
                </w14:textFill>
              </w:rPr>
              <w:t>），各专业人员搭配合理：主要成员均持有岗位证书，并满足招标文件中人员要求。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3</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工期、主要机械设备和劳动力需求计划表及相关说明</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工期合理(施工进度计划、材料与设备计划)，劳动力配置数量合理包含特种作业人员等。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4</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专项拆除方案</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方案的内容和深度须达到向</w:t>
            </w:r>
            <w:r>
              <w:rPr>
                <w:rFonts w:hint="eastAsia"/>
                <w:color w:val="000000" w:themeColor="text1"/>
                <w:sz w:val="21"/>
                <w14:textFill>
                  <w14:solidFill>
                    <w14:schemeClr w14:val="tx1"/>
                  </w14:solidFill>
                </w14:textFill>
              </w:rPr>
              <w:t>龙华</w:t>
            </w:r>
            <w:r>
              <w:rPr>
                <w:color w:val="000000" w:themeColor="text1"/>
                <w:sz w:val="21"/>
                <w14:textFill>
                  <w14:solidFill>
                    <w14:schemeClr w14:val="tx1"/>
                  </w14:solidFill>
                </w14:textFill>
              </w:rPr>
              <w:t>区住建局进行施工备案的危险性较大安全专项施工方案专家评审要求。1.专项拆除方案包含完整拆除工程范围及拆除内容；2.针对各产权管线有针对性配合方案及拆除方案；3.方案包含建筑废弃物回收利用处理方式及措施；4.方案工期计划有针对性、紧凑合理、可行性强；5.方案包含拆除质量保证措施，且符合有关技术要求；6.针对临近市政道路的单体建筑物有专项的单体拆除施工组织设计和安全技术措施；7.对未拆除的水、电、气设施及地下构筑物有相关保护措施；8.对拆除工程中防尘降噪、机械拆除、爆破拆除或垃圾清运有具体措施；9.方案满足《深圳市房屋拆除工程管理办法》（深建规［2017］ 6号）、《深圳市建筑废弃物减排与利用条例》（2009年10月1日起施行）、《深圳市人民政府办公厅关于进一步加强建筑废弃物减排与利用工作的通知》（深府办函[2012]130号）、《深圳市建筑废弃物管理办法》等文件的要求；10.有协助甲方对各栋房屋进行验收、移交和接管的具体方案；11.协调及配合相关管线产权单位开展拆除的方案；12.文明施工管理，有完备的文明施工、垃圾清理、现场保安等内容；13.拆除施工前期工作、现场准备方案详细；14.安全防护措施，包括安全防护排架、安全网及相关保护措施；15.安全施工管理，有全面的安全保障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5</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建筑废弃物综合利用方案</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方案须与国家和省、市所倡导的节能、节水、环保、可持续发展、循环经济的政策相符：1、满足《深圳市房屋拆除工程管理办法》（深建规［2017］ 6号）、《深圳市建筑废弃物减排与利用条例》（2009年10月1日起施行）、《深圳市人民政府办公厅关于进一步加强建筑废弃物减排与利用工作的通知》（深府办函[2012]130号）、《深圳市建筑废弃物管理办法》等文件的相关要求；2、建筑废弃物排放处置计划，包括工程任务情况、综合利用单位、建筑废弃物种类和数量、分类拆除的方法、综合利用方式，以及污染防治措施；3、建筑废弃物现场专职管理人员、工作职责及分工；4、现场处理利用的，应对建筑废弃物现场处理设备能力；5、建筑废弃物再生产品种类、数量及使用计划予以说明；6、对运往固定厂或其他处置场所的运输路线、数量及处置地点予以说明；7、建筑废弃物清理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87" w:type="dxa"/>
            <w:shd w:val="clear" w:color="auto" w:fill="auto"/>
            <w:vAlign w:val="center"/>
          </w:tcPr>
          <w:p>
            <w:pPr>
              <w:widowControl w:val="0"/>
              <w:adjustRightInd w:val="0"/>
              <w:snapToGrid w:val="0"/>
              <w:spacing w:line="360" w:lineRule="auto"/>
              <w:jc w:val="center"/>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6</w:t>
            </w:r>
          </w:p>
        </w:tc>
        <w:tc>
          <w:tcPr>
            <w:tcW w:w="2183"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安全保证措施</w:t>
            </w:r>
          </w:p>
        </w:tc>
        <w:tc>
          <w:tcPr>
            <w:tcW w:w="5370" w:type="dxa"/>
            <w:shd w:val="clear" w:color="auto" w:fill="auto"/>
            <w:vAlign w:val="center"/>
          </w:tcPr>
          <w:p>
            <w:pPr>
              <w:widowControl w:val="0"/>
              <w:adjustRightInd w:val="0"/>
              <w:snapToGrid w:val="0"/>
              <w:spacing w:line="360" w:lineRule="auto"/>
              <w:jc w:val="left"/>
              <w:rPr>
                <w:color w:val="000000" w:themeColor="text1"/>
                <w:sz w:val="21"/>
                <w:szCs w:val="21"/>
                <w14:textFill>
                  <w14:solidFill>
                    <w14:schemeClr w14:val="tx1"/>
                  </w14:solidFill>
                </w14:textFill>
              </w:rPr>
            </w:pPr>
            <w:r>
              <w:rPr>
                <w:color w:val="000000" w:themeColor="text1"/>
                <w:sz w:val="21"/>
                <w14:textFill>
                  <w14:solidFill>
                    <w14:schemeClr w14:val="tx1"/>
                  </w14:solidFill>
                </w14:textFill>
              </w:rPr>
              <w:t>有合理点组织保障、技术措施、防护措施、应急预案、监测监控等。</w:t>
            </w:r>
          </w:p>
        </w:tc>
      </w:tr>
    </w:tbl>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251856C0"/>
    <w:rsid w:val="33BF02E8"/>
    <w:rsid w:val="498E7188"/>
    <w:rsid w:val="50317CDC"/>
    <w:rsid w:val="56CB2B66"/>
    <w:rsid w:val="5B2E6C01"/>
    <w:rsid w:val="5BF14D74"/>
    <w:rsid w:val="6140578B"/>
    <w:rsid w:val="62212FBA"/>
    <w:rsid w:val="65F87550"/>
    <w:rsid w:val="746432A6"/>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2023-07-27T09:10:32Z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8FA71B178B874DDB9BFC28A74657BFC8_12</vt:lpwstr>
  </property>
</Properties>
</file>