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00" w:firstLineChars="500"/>
        <w:jc w:val="both"/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响应文件要求一览表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_GB2312" w:eastAsia="方正小标宋简体" w:cs="仿宋_GB2312"/>
          <w:b w:val="0"/>
          <w:color w:val="auto"/>
          <w:sz w:val="44"/>
          <w:szCs w:val="44"/>
        </w:rPr>
      </w:pPr>
    </w:p>
    <w:tbl>
      <w:tblPr>
        <w:tblStyle w:val="8"/>
        <w:tblW w:w="9495" w:type="dxa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0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  <w:t>项目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  <w:t>内容摘要说明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车辆设备涂装招标采购项目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项目概况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452"/>
                <w:tab w:val="left" w:pos="8820"/>
                <w:tab w:val="left" w:pos="9240"/>
              </w:tabs>
              <w:spacing w:line="579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深圳市龙华环境有限公司（以下简称环境公司）主要经营城市道路清扫、保洁、垃圾收集分类、运输、处理及固体废物的治理；绿地养护、污水处理、环境监测及治理等环卫业务。根据深圳市城市管理和综合执法局2022年11月1日下发《关于开展清洁能源生活垃圾转运车外观喷涂更新工作的通知》和2022年11月28日下发《关于清洁能源环卫作业车辆外观喷涂全面更新工作的通知》的文件精神，环境公司拟为符合文件要求的车辆进行喷涂，其中低压清洗车10辆、高压清洗车10辆、路面养护车12辆、洗扫车14辆、扫地车10辆、桶装运输车28辆、压缩车2辆，共计86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招标内容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1. 在深圳市龙华建设发展集团有限公司官网上挂网招标，根据车辆喷涂情况及车辆开展业务要求，确定1家满足条件的喷涂公司负责深圳市龙华环境有限公司86辆车辆进行喷涂更新项目。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2.招标完成后，与中标单位签订喷涂服务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/>
              </w:rPr>
              <w:t>合同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，2023年1月31号前完成50%，3月31号完成100%，中标人实际完成时间按合同要求履约。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计价方式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据实结算，但支付总价不高于合同价。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招标控制价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招标控制价为489100元。总价超出投标控制价将导致投标无效。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招标方式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15" w:lineRule="atLeas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公开招标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深圳市龙华建设发展集团有限公司采购平台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资格审查方式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 xml:space="preserve">投标报名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 xml:space="preserve">资格预审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资格后审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投标人资格要求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1.投标人必须为深圳市喷涂维修服务类合法注册公司，具有独立法人；需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《营业执照》复印件、《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维修资质证明文件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》复印件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等。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2.同一维修服务公司总公司只能有一家分支机构参与投标，且总公司不能与下属的分支机构同时参与投标。                                                                     3.本项目不接受联合体投标，不接受转包分包。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资格后审方式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line="15" w:lineRule="atLeast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组建评审委员会对投标单位按照《资格审查表》和《符合性审查表》部分进行审查，评审委员会对投标单位打√为通过审查，打×为未通过审查。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评定标方式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评标方法为综合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投标担保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履约担保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合同款支付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合同签订生效后，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按中国相关法律法规、公司车辆实际喷涂数量实际费用计费，按合同约定等进行支付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评标细则</w:t>
            </w:r>
          </w:p>
        </w:tc>
        <w:tc>
          <w:tcPr>
            <w:tcW w:w="7200" w:type="dxa"/>
            <w:tcBorders>
              <w:tl2br w:val="nil"/>
              <w:tr2bl w:val="nil"/>
            </w:tcBorders>
            <w:vAlign w:val="center"/>
          </w:tcPr>
          <w:p>
            <w:pPr>
              <w:spacing w:line="15" w:lineRule="atLeast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</w:rPr>
              <w:t>详见下表（评分细则）</w:t>
            </w:r>
          </w:p>
        </w:tc>
      </w:tr>
    </w:tbl>
    <w:p>
      <w:pPr>
        <w:rPr>
          <w:color w:val="auto"/>
          <w:kern w:val="2"/>
        </w:rPr>
      </w:pPr>
    </w:p>
    <w:tbl>
      <w:tblPr>
        <w:tblStyle w:val="8"/>
        <w:tblpPr w:leftFromText="180" w:rightFromText="180" w:vertAnchor="text" w:horzAnchor="page" w:tblpX="1566" w:tblpY="301"/>
        <w:tblOverlap w:val="never"/>
        <w:tblW w:w="9519" w:type="dxa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04"/>
        <w:gridCol w:w="757"/>
        <w:gridCol w:w="5035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CellSpacing w:w="0" w:type="dxa"/>
        </w:trPr>
        <w:tc>
          <w:tcPr>
            <w:tcW w:w="7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评分项及评分规则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CellSpacing w:w="0" w:type="dxa"/>
        </w:trPr>
        <w:tc>
          <w:tcPr>
            <w:tcW w:w="7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一、价格部分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tblCellSpacing w:w="0" w:type="dxa"/>
        </w:trPr>
        <w:tc>
          <w:tcPr>
            <w:tcW w:w="778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采用低价优先法计算,即满足招标文件要求且投标价格最低的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投标报价为评标基准价,其价格分为满分。其他投标人的价格分统一按照下列公式计算：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价格分=[1-（投标报价-最低价）/最低价]×价格权重×100，当价格分＜0 时，取 0。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按公式计算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CellSpacing w:w="0" w:type="dxa"/>
        </w:trPr>
        <w:tc>
          <w:tcPr>
            <w:tcW w:w="7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</w:rPr>
              <w:t>商务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部分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65分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内容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权重</w:t>
            </w:r>
          </w:p>
        </w:tc>
        <w:tc>
          <w:tcPr>
            <w:tcW w:w="50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评分规则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经营规模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3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（一）评审内容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考察投标人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规模情况，分档评分。</w:t>
            </w:r>
          </w:p>
          <w:p>
            <w:pPr>
              <w:spacing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1.“202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-2022年度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营业额每年都在＞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500万元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”的，得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分；</w:t>
            </w:r>
          </w:p>
          <w:p>
            <w:pPr>
              <w:spacing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2.“202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-2022年度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营业额每年都在：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200万元≤营业额≤500万元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分；</w:t>
            </w:r>
          </w:p>
          <w:p>
            <w:pPr>
              <w:spacing w:line="360" w:lineRule="auto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3.“202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-2022年度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营业额每年都在：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200万以下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（二）评分依据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投标人须提供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公司流水及税收等带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公章的证明文件。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企业负责人资质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03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（一）评审内容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根据投标人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企业负责人安全资质证书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负责人个人征信、高级职业资格证书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1.企业安全生产主要负责人证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2.高级职业资格证书，得3分；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3.负责人诚信企业家，得2分；</w:t>
            </w:r>
          </w:p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4.负责人有大专及以上学历，得2分。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（二）评分依据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投标人须提供上述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要求的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证明文件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（国家、省、市主管部门颁发的证书。行业组织等机构颁发的证书不作为有效证明材料），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加盖公章，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未提供或提供不清晰导致无法判断的不得分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累计共10分。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喷涂案例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35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（一）评审内容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考察投标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人公司20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年以来喷涂实际案例，分档评分。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1.有国有企业和政府相关单位维修喷涂案例：3例及以上，得15分；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2.有国有企业和政府相关单位维修喷涂案例：2例，得12分；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3.有国有企业和政府相关单位维修喷涂案例：1例，得6分；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4.其余不得分。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（二）评分依据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投标人须提供合同证明文件，加盖投标人公章。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经营场地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35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（一）评审内容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考察投标人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经营场地面积。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1.经营场地面积≥2000平方米，得15分；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2.500平方米≤经营面积＜2000平方米，得10分；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3.经营面积＜500平方米的，得5分。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（二）评分依据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投标人须提供公司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经营场地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证明文件扫描件（原件备查），加盖公章。未提供证明资料或专家无法凭所提供资料判断是否得分的情况，一律做不得分处理。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服务便利性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35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（一）评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内容：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根据投标人在深圳市龙华区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大浪街道范围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以华富工业园为中心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除不可抗拒因素外，接到电话后能够在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分钟内到达招标人处协助人解决问题，得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分；除不可抗拒因素外，接到电话后能够在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11-20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分钟内到达招标人处协助人解决问题，得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分；除不可抗拒因素外，接到电话后能够在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21分钟内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到达招标人处协助人解决问题，得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分。其他情况或无响应，得0分。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（二）评分依据：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提供相关证明材料（须提供经营场所地址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龙华环境有限公司华富项目部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的地图导航截图，截图需显示到达时间及公里数，如未按要求提供证明材料，或所提供的证明材未能体现上述评分内容的，视为该证明材料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效。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CellSpacing w:w="0" w:type="dxa"/>
        </w:trPr>
        <w:tc>
          <w:tcPr>
            <w:tcW w:w="7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zh-CN"/>
              </w:rPr>
              <w:t>部分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总体服务方案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03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（一）评审内容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投标人对本项目提出的总体服务方案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包含如下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1.时间节点及工作任务安排合理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2.喷绘方案的完整性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3.质量控制方案合理全面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4.应急预案和安全措施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（二）评分依据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投标人须提供以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上方案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资料，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满足一项得5分，累计共20分。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CellSpacing w:w="0" w:type="dxa"/>
        </w:trPr>
        <w:tc>
          <w:tcPr>
            <w:tcW w:w="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</w:rPr>
              <w:t>评价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en-US" w:eastAsia="zh-CN"/>
              </w:rPr>
              <w:t>投标人须提供企业征信有效证明材料，有得5分，无0分。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auto"/>
                <w:kern w:val="2"/>
                <w:sz w:val="24"/>
                <w:szCs w:val="24"/>
                <w:lang w:val="zh-CN"/>
              </w:rPr>
              <w:t>评委打分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NmU4NmVjNDM1NzQ2NzcxNDQ1ZTY0YzEyZjE1ZjkifQ=="/>
    <w:docVar w:name="KSO_WPS_MARK_KEY" w:val="0db50913-4cc0-4f5c-a909-c59f76bff19c"/>
  </w:docVars>
  <w:rsids>
    <w:rsidRoot w:val="00000000"/>
    <w:rsid w:val="005F5904"/>
    <w:rsid w:val="019C37AB"/>
    <w:rsid w:val="01E96C2E"/>
    <w:rsid w:val="03376076"/>
    <w:rsid w:val="03E62402"/>
    <w:rsid w:val="04230CF2"/>
    <w:rsid w:val="05197D6A"/>
    <w:rsid w:val="054F7546"/>
    <w:rsid w:val="06B6300F"/>
    <w:rsid w:val="0A78795E"/>
    <w:rsid w:val="0ABD2EA9"/>
    <w:rsid w:val="0C4B6E38"/>
    <w:rsid w:val="0D525E6F"/>
    <w:rsid w:val="0D98735D"/>
    <w:rsid w:val="0E3521DC"/>
    <w:rsid w:val="0F4117CC"/>
    <w:rsid w:val="111772D2"/>
    <w:rsid w:val="12413F80"/>
    <w:rsid w:val="124C454F"/>
    <w:rsid w:val="1296148B"/>
    <w:rsid w:val="138A1E15"/>
    <w:rsid w:val="14197409"/>
    <w:rsid w:val="149E726C"/>
    <w:rsid w:val="14A4376A"/>
    <w:rsid w:val="14BD76C0"/>
    <w:rsid w:val="14E23878"/>
    <w:rsid w:val="15DA15E8"/>
    <w:rsid w:val="16C8346F"/>
    <w:rsid w:val="16F96496"/>
    <w:rsid w:val="181C512B"/>
    <w:rsid w:val="18E53FBC"/>
    <w:rsid w:val="195C49A7"/>
    <w:rsid w:val="1A30258E"/>
    <w:rsid w:val="1B4C7DFF"/>
    <w:rsid w:val="1B707E81"/>
    <w:rsid w:val="1BE449C5"/>
    <w:rsid w:val="1C9A5DF9"/>
    <w:rsid w:val="1D857414"/>
    <w:rsid w:val="1E0850D6"/>
    <w:rsid w:val="1E64416A"/>
    <w:rsid w:val="2049187B"/>
    <w:rsid w:val="20D0371B"/>
    <w:rsid w:val="269F14EC"/>
    <w:rsid w:val="2B3F6D00"/>
    <w:rsid w:val="2C1218DE"/>
    <w:rsid w:val="2CDB1327"/>
    <w:rsid w:val="2E2312BE"/>
    <w:rsid w:val="2E976A53"/>
    <w:rsid w:val="2FD652C1"/>
    <w:rsid w:val="308B35E4"/>
    <w:rsid w:val="309A3ADC"/>
    <w:rsid w:val="30FC77ED"/>
    <w:rsid w:val="31416065"/>
    <w:rsid w:val="33C76A50"/>
    <w:rsid w:val="33F42D4E"/>
    <w:rsid w:val="34DC75D1"/>
    <w:rsid w:val="35002E80"/>
    <w:rsid w:val="350F3F19"/>
    <w:rsid w:val="36525B04"/>
    <w:rsid w:val="36B443CF"/>
    <w:rsid w:val="38134100"/>
    <w:rsid w:val="384F6DEF"/>
    <w:rsid w:val="3B180FBF"/>
    <w:rsid w:val="3B89663D"/>
    <w:rsid w:val="3CD94326"/>
    <w:rsid w:val="3CF46EDE"/>
    <w:rsid w:val="3DE6611C"/>
    <w:rsid w:val="3E004AC7"/>
    <w:rsid w:val="3E430A34"/>
    <w:rsid w:val="3F4C6CE8"/>
    <w:rsid w:val="40253F3C"/>
    <w:rsid w:val="40D83EF0"/>
    <w:rsid w:val="41267FF3"/>
    <w:rsid w:val="4134460A"/>
    <w:rsid w:val="42A866EA"/>
    <w:rsid w:val="42BE5A9B"/>
    <w:rsid w:val="42EF5206"/>
    <w:rsid w:val="43671945"/>
    <w:rsid w:val="43DF5939"/>
    <w:rsid w:val="47DE6C76"/>
    <w:rsid w:val="48CC307C"/>
    <w:rsid w:val="49071275"/>
    <w:rsid w:val="493A685C"/>
    <w:rsid w:val="4B496C93"/>
    <w:rsid w:val="4CA6169E"/>
    <w:rsid w:val="4CD6771E"/>
    <w:rsid w:val="4E1649CE"/>
    <w:rsid w:val="4EC820CD"/>
    <w:rsid w:val="4F252466"/>
    <w:rsid w:val="4FA07BB2"/>
    <w:rsid w:val="50E817D4"/>
    <w:rsid w:val="518C3EDA"/>
    <w:rsid w:val="53083749"/>
    <w:rsid w:val="53383B95"/>
    <w:rsid w:val="54753EFC"/>
    <w:rsid w:val="5B747CD3"/>
    <w:rsid w:val="5CC07FB9"/>
    <w:rsid w:val="5E25629E"/>
    <w:rsid w:val="5F01496B"/>
    <w:rsid w:val="5FDF108A"/>
    <w:rsid w:val="60F5130F"/>
    <w:rsid w:val="60FB27B1"/>
    <w:rsid w:val="634E4F7A"/>
    <w:rsid w:val="640C0830"/>
    <w:rsid w:val="647E7622"/>
    <w:rsid w:val="663707F6"/>
    <w:rsid w:val="683B7691"/>
    <w:rsid w:val="694E0453"/>
    <w:rsid w:val="69DE332C"/>
    <w:rsid w:val="6A4454E8"/>
    <w:rsid w:val="6BC12577"/>
    <w:rsid w:val="6DEC1AE6"/>
    <w:rsid w:val="6ECF7B5A"/>
    <w:rsid w:val="6F734622"/>
    <w:rsid w:val="70EA114F"/>
    <w:rsid w:val="71DF7078"/>
    <w:rsid w:val="72E9674E"/>
    <w:rsid w:val="73FC77D8"/>
    <w:rsid w:val="75EC4704"/>
    <w:rsid w:val="75F72A95"/>
    <w:rsid w:val="76155FDD"/>
    <w:rsid w:val="787E073F"/>
    <w:rsid w:val="7B074386"/>
    <w:rsid w:val="7BD24E35"/>
    <w:rsid w:val="7C2C2059"/>
    <w:rsid w:val="7CE617A9"/>
    <w:rsid w:val="7DC6323C"/>
    <w:rsid w:val="7E7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99"/>
    <w:rPr>
      <w:sz w:val="18"/>
      <w:szCs w:val="18"/>
    </w:rPr>
  </w:style>
  <w:style w:type="paragraph" w:styleId="3">
    <w:name w:val="index 8"/>
    <w:basedOn w:val="1"/>
    <w:next w:val="1"/>
    <w:semiHidden/>
    <w:unhideWhenUsed/>
    <w:qFormat/>
    <w:uiPriority w:val="0"/>
    <w:pPr>
      <w:ind w:left="1400" w:leftChars="1400"/>
    </w:pPr>
  </w:style>
  <w:style w:type="paragraph" w:styleId="4">
    <w:name w:val="Body Text Indent"/>
    <w:basedOn w:val="1"/>
    <w:qFormat/>
    <w:uiPriority w:val="0"/>
    <w:pPr>
      <w:tabs>
        <w:tab w:val="left" w:pos="0"/>
      </w:tabs>
      <w:spacing w:line="420" w:lineRule="exact"/>
      <w:ind w:firstLine="525"/>
    </w:pPr>
    <w:rPr>
      <w:rFonts w:ascii="仿宋_GB2312" w:hAnsi="Times New Roman" w:eastAsia="仿宋_GB2312"/>
      <w:sz w:val="28"/>
      <w:szCs w:val="20"/>
    </w:rPr>
  </w:style>
  <w:style w:type="paragraph" w:styleId="5">
    <w:name w:val="Plain Text"/>
    <w:basedOn w:val="1"/>
    <w:next w:val="3"/>
    <w:unhideWhenUsed/>
    <w:qFormat/>
    <w:uiPriority w:val="0"/>
    <w:rPr>
      <w:rFonts w:ascii="宋体" w:hAnsi="Courier New" w:eastAsiaTheme="minorEastAsia" w:cstheme="minorBidi"/>
      <w:szCs w:val="21"/>
    </w:rPr>
  </w:style>
  <w:style w:type="paragraph" w:styleId="6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  <w:szCs w:val="20"/>
    </w:rPr>
  </w:style>
  <w:style w:type="paragraph" w:styleId="7">
    <w:name w:val="Body Text First Indent 2"/>
    <w:basedOn w:val="4"/>
    <w:qFormat/>
    <w:uiPriority w:val="0"/>
    <w:pPr>
      <w:spacing w:line="240" w:lineRule="auto"/>
      <w:ind w:left="420" w:leftChars="200" w:firstLine="420" w:firstLineChars="200"/>
    </w:pPr>
    <w:rPr>
      <w:sz w:val="21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样式 左侧:  0 厘米 悬挂缩进: 2.5 字符"/>
    <w:basedOn w:val="1"/>
    <w:qFormat/>
    <w:uiPriority w:val="0"/>
    <w:pPr>
      <w:ind w:left="525" w:hanging="525" w:hangingChars="25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2296</Words>
  <Characters>2441</Characters>
  <Lines>0</Lines>
  <Paragraphs>0</Paragraphs>
  <TotalTime>2</TotalTime>
  <ScaleCrop>false</ScaleCrop>
  <LinksUpToDate>false</LinksUpToDate>
  <CharactersWithSpaces>2536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2022-12-14T02:12:00Z</dcterms:created>
  <dc:creator>Administrator</dc:creator>
  <cp:lastModifiedBy>123</cp:lastModifiedBy>
  <cp:lastPrinted>2022-12-20T09:37:00Z</cp:lastPrinted>
  <dcterms:modified xsi:type="dcterms:W3CDTF">2023-01-04T01:18:25Z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02F08016C1C5453DA149BCB27BBFCD0C</vt:lpwstr>
  </property>
</Properties>
</file>